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6F" w:rsidRDefault="008C12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C13F6F" w:rsidRDefault="008C12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Лучшая практика по работе с инвестором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iCs/>
          <w:sz w:val="28"/>
        </w:rPr>
        <w:t xml:space="preserve">в муниципальном образовании Ханты-Мансийского автономного </w:t>
      </w:r>
      <w:r>
        <w:rPr>
          <w:rFonts w:ascii="Times New Roman" w:hAnsi="Times New Roman" w:cs="Times New Roman"/>
          <w:b/>
          <w:iCs/>
          <w:sz w:val="28"/>
        </w:rPr>
        <w:br/>
        <w:t>округа - Югры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13F6F" w:rsidRDefault="00C13F6F">
      <w:pPr>
        <w:spacing w:line="240" w:lineRule="auto"/>
        <w:jc w:val="center"/>
        <w:rPr>
          <w:rFonts w:ascii="Times New Roman" w:hAnsi="Times New Roman" w:cs="Times New Roman"/>
          <w:sz w:val="8"/>
        </w:rPr>
      </w:pP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507"/>
      </w:tblGrid>
      <w:tr w:rsidR="000015F9" w:rsidRPr="000015F9">
        <w:trPr>
          <w:trHeight w:val="488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Как называется практика?</w:t>
            </w:r>
          </w:p>
        </w:tc>
        <w:tc>
          <w:tcPr>
            <w:tcW w:w="7507" w:type="dxa"/>
            <w:vAlign w:val="center"/>
          </w:tcPr>
          <w:p w:rsidR="00C13F6F" w:rsidRPr="000015F9" w:rsidRDefault="00C266EF" w:rsidP="00F46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инвестиционной стратегии города </w:t>
            </w:r>
            <w:proofErr w:type="spellStart"/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Пыть-Яха</w:t>
            </w:r>
            <w:proofErr w:type="spellEnd"/>
          </w:p>
        </w:tc>
      </w:tr>
      <w:tr w:rsidR="000015F9" w:rsidRPr="000015F9">
        <w:trPr>
          <w:trHeight w:val="968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На какой элемент Муниципального инвестиционного стандарта она направлена?</w:t>
            </w:r>
          </w:p>
        </w:tc>
        <w:tc>
          <w:tcPr>
            <w:tcW w:w="7507" w:type="dxa"/>
            <w:vAlign w:val="center"/>
          </w:tcPr>
          <w:p w:rsidR="00C13F6F" w:rsidRPr="000015F9" w:rsidRDefault="00C266EF" w:rsidP="008C2C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Элемент №4 «Раздел об инвестициях в документе стратегического планирования»</w:t>
            </w:r>
          </w:p>
        </w:tc>
      </w:tr>
      <w:tr w:rsidR="000015F9" w:rsidRPr="000015F9">
        <w:trPr>
          <w:trHeight w:val="1002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Для достижения какой цели она была создана?</w:t>
            </w:r>
          </w:p>
        </w:tc>
        <w:tc>
          <w:tcPr>
            <w:tcW w:w="7507" w:type="dxa"/>
            <w:vAlign w:val="center"/>
          </w:tcPr>
          <w:p w:rsidR="00AE505B" w:rsidRPr="000015F9" w:rsidRDefault="00BE6E04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 xml:space="preserve">Проработка и формирование инвестиционной стратегии города, </w:t>
            </w:r>
            <w:r w:rsidR="00AE505B" w:rsidRPr="000015F9">
              <w:rPr>
                <w:sz w:val="26"/>
                <w:szCs w:val="26"/>
              </w:rPr>
              <w:t>которая:</w:t>
            </w:r>
          </w:p>
          <w:p w:rsidR="00797888" w:rsidRPr="000015F9" w:rsidRDefault="00797888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>- направлена на повышение инвестиционной привлекательности города;</w:t>
            </w:r>
          </w:p>
          <w:p w:rsidR="00AE505B" w:rsidRPr="000015F9" w:rsidRDefault="00AE505B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 xml:space="preserve">- ориентирована на </w:t>
            </w:r>
            <w:r w:rsidR="00E40CAB" w:rsidRPr="000015F9">
              <w:rPr>
                <w:sz w:val="26"/>
                <w:szCs w:val="26"/>
              </w:rPr>
              <w:t>поддержку и</w:t>
            </w:r>
            <w:r w:rsidRPr="000015F9">
              <w:rPr>
                <w:sz w:val="26"/>
                <w:szCs w:val="26"/>
              </w:rPr>
              <w:t xml:space="preserve"> развити</w:t>
            </w:r>
            <w:r w:rsidR="002D3F35" w:rsidRPr="000015F9">
              <w:rPr>
                <w:sz w:val="26"/>
                <w:szCs w:val="26"/>
              </w:rPr>
              <w:t>е</w:t>
            </w:r>
            <w:r w:rsidRPr="000015F9">
              <w:rPr>
                <w:sz w:val="26"/>
                <w:szCs w:val="26"/>
              </w:rPr>
              <w:t xml:space="preserve"> </w:t>
            </w:r>
            <w:r w:rsidR="00797888" w:rsidRPr="000015F9">
              <w:rPr>
                <w:sz w:val="26"/>
                <w:szCs w:val="26"/>
              </w:rPr>
              <w:t>бизнес</w:t>
            </w:r>
            <w:r w:rsidR="0046638C" w:rsidRPr="000015F9">
              <w:rPr>
                <w:sz w:val="26"/>
                <w:szCs w:val="26"/>
              </w:rPr>
              <w:t xml:space="preserve"> </w:t>
            </w:r>
            <w:r w:rsidR="00E40CAB" w:rsidRPr="000015F9">
              <w:rPr>
                <w:sz w:val="26"/>
                <w:szCs w:val="26"/>
              </w:rPr>
              <w:t>–</w:t>
            </w:r>
            <w:r w:rsidR="0046638C" w:rsidRPr="000015F9">
              <w:rPr>
                <w:sz w:val="26"/>
                <w:szCs w:val="26"/>
              </w:rPr>
              <w:t xml:space="preserve"> </w:t>
            </w:r>
            <w:r w:rsidR="00E40CAB" w:rsidRPr="000015F9">
              <w:rPr>
                <w:sz w:val="26"/>
                <w:szCs w:val="26"/>
              </w:rPr>
              <w:t xml:space="preserve">сообществ, </w:t>
            </w:r>
            <w:proofErr w:type="gramStart"/>
            <w:r w:rsidR="00E40CAB" w:rsidRPr="000015F9">
              <w:rPr>
                <w:sz w:val="26"/>
                <w:szCs w:val="26"/>
              </w:rPr>
              <w:t xml:space="preserve">на </w:t>
            </w:r>
            <w:r w:rsidRPr="000015F9">
              <w:rPr>
                <w:sz w:val="26"/>
                <w:szCs w:val="26"/>
              </w:rPr>
              <w:t xml:space="preserve"> масштабировани</w:t>
            </w:r>
            <w:r w:rsidR="002D3F35" w:rsidRPr="000015F9">
              <w:rPr>
                <w:sz w:val="26"/>
                <w:szCs w:val="26"/>
              </w:rPr>
              <w:t>е</w:t>
            </w:r>
            <w:proofErr w:type="gramEnd"/>
            <w:r w:rsidR="00797888" w:rsidRPr="000015F9">
              <w:rPr>
                <w:sz w:val="26"/>
                <w:szCs w:val="26"/>
              </w:rPr>
              <w:t xml:space="preserve"> инвестиционных проектов</w:t>
            </w:r>
            <w:r w:rsidRPr="000015F9">
              <w:rPr>
                <w:sz w:val="26"/>
                <w:szCs w:val="26"/>
              </w:rPr>
              <w:t>;</w:t>
            </w:r>
          </w:p>
          <w:p w:rsidR="00C13F6F" w:rsidRPr="000015F9" w:rsidRDefault="00797888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 xml:space="preserve"> </w:t>
            </w:r>
            <w:r w:rsidR="000E24FF" w:rsidRPr="000015F9">
              <w:rPr>
                <w:sz w:val="26"/>
                <w:szCs w:val="26"/>
              </w:rPr>
              <w:t xml:space="preserve">- </w:t>
            </w:r>
            <w:proofErr w:type="spellStart"/>
            <w:r w:rsidR="008C2C75" w:rsidRPr="000015F9">
              <w:rPr>
                <w:sz w:val="26"/>
                <w:szCs w:val="26"/>
              </w:rPr>
              <w:t>целенаправлена</w:t>
            </w:r>
            <w:proofErr w:type="spellEnd"/>
            <w:r w:rsidR="00491C0B" w:rsidRPr="000015F9">
              <w:rPr>
                <w:sz w:val="26"/>
                <w:szCs w:val="26"/>
              </w:rPr>
              <w:t xml:space="preserve"> на </w:t>
            </w:r>
            <w:r w:rsidR="00AE505B" w:rsidRPr="000015F9">
              <w:rPr>
                <w:sz w:val="26"/>
                <w:szCs w:val="26"/>
              </w:rPr>
              <w:t>социально</w:t>
            </w:r>
            <w:r w:rsidR="00491C0B" w:rsidRPr="000015F9">
              <w:rPr>
                <w:sz w:val="26"/>
                <w:szCs w:val="26"/>
              </w:rPr>
              <w:t xml:space="preserve">-экономическое развитие </w:t>
            </w:r>
            <w:proofErr w:type="gramStart"/>
            <w:r w:rsidR="00491C0B" w:rsidRPr="000015F9">
              <w:rPr>
                <w:sz w:val="26"/>
                <w:szCs w:val="26"/>
              </w:rPr>
              <w:t>города.</w:t>
            </w:r>
            <w:r w:rsidR="00BE6E04" w:rsidRPr="000015F9">
              <w:rPr>
                <w:sz w:val="26"/>
                <w:szCs w:val="26"/>
              </w:rPr>
              <w:t xml:space="preserve">  </w:t>
            </w:r>
            <w:r w:rsidR="00AD0F34" w:rsidRPr="000015F9"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  <w:tr w:rsidR="000015F9" w:rsidRPr="000015F9">
        <w:trPr>
          <w:trHeight w:val="526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7507" w:type="dxa"/>
            <w:vAlign w:val="center"/>
          </w:tcPr>
          <w:p w:rsidR="000E24FF" w:rsidRPr="000015F9" w:rsidRDefault="000E24FF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 xml:space="preserve">Подготовка </w:t>
            </w:r>
            <w:r w:rsidR="00797888" w:rsidRPr="000015F9">
              <w:rPr>
                <w:sz w:val="26"/>
                <w:szCs w:val="26"/>
              </w:rPr>
              <w:t>и анализ исходных данных.</w:t>
            </w:r>
          </w:p>
          <w:p w:rsidR="008C2C75" w:rsidRPr="000015F9" w:rsidRDefault="006B0620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>Формирование проекта инвестиционной стратегии с ч</w:t>
            </w:r>
            <w:r w:rsidR="008C2C75" w:rsidRPr="000015F9">
              <w:rPr>
                <w:sz w:val="26"/>
                <w:szCs w:val="26"/>
              </w:rPr>
              <w:t>етк</w:t>
            </w:r>
            <w:r w:rsidRPr="000015F9">
              <w:rPr>
                <w:sz w:val="26"/>
                <w:szCs w:val="26"/>
              </w:rPr>
              <w:t>им</w:t>
            </w:r>
            <w:r w:rsidR="008C2C75" w:rsidRPr="000015F9">
              <w:rPr>
                <w:sz w:val="26"/>
                <w:szCs w:val="26"/>
              </w:rPr>
              <w:t xml:space="preserve"> определение</w:t>
            </w:r>
            <w:r w:rsidRPr="000015F9">
              <w:rPr>
                <w:sz w:val="26"/>
                <w:szCs w:val="26"/>
              </w:rPr>
              <w:t>м</w:t>
            </w:r>
            <w:r w:rsidR="008C2C75" w:rsidRPr="000015F9">
              <w:rPr>
                <w:sz w:val="26"/>
                <w:szCs w:val="26"/>
              </w:rPr>
              <w:t xml:space="preserve"> видения будущего </w:t>
            </w:r>
            <w:r w:rsidR="00E40CAB" w:rsidRPr="000015F9">
              <w:rPr>
                <w:sz w:val="26"/>
                <w:szCs w:val="26"/>
              </w:rPr>
              <w:t>и</w:t>
            </w:r>
            <w:r w:rsidR="008C2C75" w:rsidRPr="000015F9">
              <w:rPr>
                <w:sz w:val="26"/>
                <w:szCs w:val="26"/>
              </w:rPr>
              <w:t xml:space="preserve"> стратегического развития города на основе приоритетных направлений и точек роста</w:t>
            </w:r>
            <w:r w:rsidRPr="000015F9">
              <w:rPr>
                <w:sz w:val="26"/>
                <w:szCs w:val="26"/>
              </w:rPr>
              <w:t>.</w:t>
            </w:r>
          </w:p>
          <w:p w:rsidR="008C2C75" w:rsidRPr="000015F9" w:rsidRDefault="006B0620" w:rsidP="00F46393">
            <w:pPr>
              <w:pStyle w:val="af9"/>
              <w:spacing w:before="0" w:beforeAutospacing="0" w:after="57" w:afterAutospacing="0"/>
              <w:jc w:val="both"/>
              <w:rPr>
                <w:sz w:val="26"/>
                <w:szCs w:val="26"/>
              </w:rPr>
            </w:pPr>
            <w:r w:rsidRPr="000015F9">
              <w:rPr>
                <w:sz w:val="26"/>
                <w:szCs w:val="26"/>
              </w:rPr>
              <w:t xml:space="preserve">Общественное обсуждение и </w:t>
            </w:r>
            <w:r w:rsidR="00797888" w:rsidRPr="000015F9">
              <w:rPr>
                <w:sz w:val="26"/>
                <w:szCs w:val="26"/>
              </w:rPr>
              <w:t xml:space="preserve">утверждение </w:t>
            </w:r>
            <w:r w:rsidR="000E24FF" w:rsidRPr="000015F9">
              <w:rPr>
                <w:sz w:val="26"/>
                <w:szCs w:val="26"/>
              </w:rPr>
              <w:t>итогового документа с целью последующе</w:t>
            </w:r>
            <w:r w:rsidR="00E40CAB" w:rsidRPr="000015F9">
              <w:rPr>
                <w:sz w:val="26"/>
                <w:szCs w:val="26"/>
              </w:rPr>
              <w:t>го</w:t>
            </w:r>
            <w:r w:rsidR="000E24FF" w:rsidRPr="000015F9">
              <w:rPr>
                <w:sz w:val="26"/>
                <w:szCs w:val="26"/>
              </w:rPr>
              <w:t xml:space="preserve"> </w:t>
            </w:r>
            <w:r w:rsidR="0046638C" w:rsidRPr="000015F9">
              <w:rPr>
                <w:sz w:val="26"/>
                <w:szCs w:val="26"/>
              </w:rPr>
              <w:t xml:space="preserve">внедрения </w:t>
            </w:r>
            <w:r w:rsidR="00E40CAB" w:rsidRPr="000015F9">
              <w:rPr>
                <w:sz w:val="26"/>
                <w:szCs w:val="26"/>
              </w:rPr>
              <w:t xml:space="preserve">(реализации) </w:t>
            </w:r>
            <w:r w:rsidR="0046638C" w:rsidRPr="000015F9">
              <w:rPr>
                <w:sz w:val="26"/>
                <w:szCs w:val="26"/>
              </w:rPr>
              <w:t>на территории города.</w:t>
            </w:r>
          </w:p>
        </w:tc>
      </w:tr>
      <w:tr w:rsidR="000015F9" w:rsidRPr="000015F9">
        <w:trPr>
          <w:trHeight w:val="722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Опишите суть</w:t>
            </w: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практики</w:t>
            </w:r>
          </w:p>
        </w:tc>
        <w:tc>
          <w:tcPr>
            <w:tcW w:w="7507" w:type="dxa"/>
            <w:vAlign w:val="center"/>
          </w:tcPr>
          <w:p w:rsidR="00F50003" w:rsidRPr="000015F9" w:rsidRDefault="00F50003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Инвестиционная стратегия города включена разделом в </w:t>
            </w:r>
            <w:r w:rsidR="00C266EF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стратеги</w:t>
            </w: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ю</w:t>
            </w:r>
            <w:r w:rsidR="00C266EF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социально-экономического развития города </w:t>
            </w:r>
            <w:proofErr w:type="spellStart"/>
            <w:r w:rsidR="00C266EF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Пыть-Яха</w:t>
            </w:r>
            <w:proofErr w:type="spellEnd"/>
            <w:r w:rsidR="00043D3E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(далее –Стратегия города)</w:t>
            </w:r>
            <w:r w:rsidR="00C266EF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котор</w:t>
            </w: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ая</w:t>
            </w:r>
            <w:r w:rsidR="00C266EF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утверждается Думой города </w:t>
            </w:r>
            <w:proofErr w:type="spellStart"/>
            <w:r w:rsidR="00C266EF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Пыть-Яха</w:t>
            </w:r>
            <w:proofErr w:type="spellEnd"/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:rsidR="00C13F6F" w:rsidRPr="000015F9" w:rsidRDefault="00C266EF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До 2023 года инвестиционная стратегия в составе </w:t>
            </w:r>
            <w:r w:rsidR="00043D3E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Стратегии города до 2030 года была утверждена решением Думы города </w:t>
            </w:r>
            <w:proofErr w:type="spellStart"/>
            <w:r w:rsidR="00043D3E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Пыть-Яха</w:t>
            </w:r>
            <w:proofErr w:type="spellEnd"/>
            <w:r w:rsidR="00043D3E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19.04.2018 №158. В декабре 2023 года Стратегия города до 2036 года утверждена Решением Думы от 26.12.2023 №229.</w:t>
            </w:r>
          </w:p>
          <w:p w:rsidR="00043D3E" w:rsidRPr="000015F9" w:rsidRDefault="002868F9" w:rsidP="000015F9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Основная суть (концепция) форми</w:t>
            </w:r>
            <w:bookmarkStart w:id="0" w:name="_GoBack"/>
            <w:bookmarkEnd w:id="0"/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рования новой (утвержденной) </w:t>
            </w:r>
            <w:r w:rsidR="00043D3E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инвестиционной стратегии </w:t>
            </w: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является создание основного документа (как навигатора)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, отражающ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 xml:space="preserve"> совокупность официальн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 xml:space="preserve"> приня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softHyphen/>
              <w:t>тых взглядов на цели и основные инструменты воздействия органов мест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ного самоуправления на стимулирование инвестиционной деятельности в соответствии с уровнем социально-экономического развития </w:t>
            </w:r>
            <w:r w:rsidR="000015F9" w:rsidRPr="000015F9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с учетом имеющихся ресурсов и возможностей.</w:t>
            </w:r>
          </w:p>
        </w:tc>
      </w:tr>
      <w:tr w:rsidR="000015F9" w:rsidRPr="000015F9">
        <w:trPr>
          <w:trHeight w:val="722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Укажите целевую аудиторию</w:t>
            </w:r>
          </w:p>
          <w:p w:rsidR="00C13F6F" w:rsidRPr="000015F9" w:rsidRDefault="00C13F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07" w:type="dxa"/>
            <w:vAlign w:val="center"/>
          </w:tcPr>
          <w:p w:rsidR="00C13F6F" w:rsidRPr="000015F9" w:rsidRDefault="00F459B3" w:rsidP="00F4639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Население автономного округа ХМАО-Югры, города </w:t>
            </w:r>
            <w:proofErr w:type="spellStart"/>
            <w:r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t>Пыть-Яха</w:t>
            </w:r>
            <w:proofErr w:type="spellEnd"/>
            <w:r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руководители предприятий и организаций (действующие и потенциальные инвесторы автономного округа и города </w:t>
            </w:r>
            <w:proofErr w:type="spellStart"/>
            <w:r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t>Пыть-Яха</w:t>
            </w:r>
            <w:proofErr w:type="spellEnd"/>
            <w:r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t>); индивидуальные предприниматели; физические лица, студенты, планирующие заниматься предпринимательской деятельностью.</w:t>
            </w:r>
          </w:p>
          <w:p w:rsidR="00AD0F34" w:rsidRPr="000015F9" w:rsidRDefault="00AD0F34" w:rsidP="00F46393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Исполнительные органы государственной власти и муниципальных образований, институты развития и бизнеса</w:t>
            </w:r>
            <w:r w:rsidR="0046638C" w:rsidRPr="000015F9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0015F9" w:rsidRPr="000015F9">
        <w:trPr>
          <w:trHeight w:val="722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Главный </w:t>
            </w: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результат</w:t>
            </w:r>
          </w:p>
        </w:tc>
        <w:tc>
          <w:tcPr>
            <w:tcW w:w="7507" w:type="dxa"/>
            <w:vAlign w:val="center"/>
          </w:tcPr>
          <w:p w:rsidR="00C13F6F" w:rsidRPr="000015F9" w:rsidRDefault="00F459B3" w:rsidP="00F46393">
            <w:pPr>
              <w:pStyle w:val="af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Инвестиционная стратегия города (документ,</w:t>
            </w:r>
            <w:r w:rsidR="00F27271" w:rsidRPr="000015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5F9">
              <w:rPr>
                <w:rFonts w:ascii="Times New Roman" w:hAnsi="Times New Roman" w:cs="Times New Roman"/>
                <w:sz w:val="26"/>
                <w:szCs w:val="26"/>
              </w:rPr>
              <w:t>нормативно-правовой акт)</w:t>
            </w:r>
          </w:p>
        </w:tc>
      </w:tr>
      <w:tr w:rsidR="000015F9" w:rsidRPr="000015F9">
        <w:trPr>
          <w:trHeight w:val="523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Срок внедрения</w:t>
            </w:r>
          </w:p>
        </w:tc>
        <w:tc>
          <w:tcPr>
            <w:tcW w:w="7507" w:type="dxa"/>
            <w:vAlign w:val="center"/>
          </w:tcPr>
          <w:p w:rsidR="00C13F6F" w:rsidRPr="000015F9" w:rsidRDefault="003E3D98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2-6 месяцев</w:t>
            </w:r>
          </w:p>
        </w:tc>
      </w:tr>
      <w:tr w:rsidR="000015F9" w:rsidRPr="000015F9">
        <w:trPr>
          <w:trHeight w:val="849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Этапы </w:t>
            </w:r>
            <w:proofErr w:type="gramStart"/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внедрения</w:t>
            </w: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</w:t>
            </w:r>
            <w:proofErr w:type="gramEnd"/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при наличии)</w:t>
            </w:r>
          </w:p>
        </w:tc>
        <w:tc>
          <w:tcPr>
            <w:tcW w:w="7507" w:type="dxa"/>
            <w:vAlign w:val="center"/>
          </w:tcPr>
          <w:p w:rsidR="0046638C" w:rsidRPr="000015F9" w:rsidRDefault="00FE0FDC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</w:t>
            </w:r>
            <w:r w:rsidR="003737C4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Запросы, анкетирование </w:t>
            </w: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 получение первичных исходных данных.</w:t>
            </w:r>
          </w:p>
          <w:p w:rsidR="00FE0FDC" w:rsidRPr="000015F9" w:rsidRDefault="0046638C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Запрос информации у предприятий, организаций, осуществляющих деятельность на территории города; проведение анкетирования населения города, мониторинг статистических данных.</w:t>
            </w:r>
          </w:p>
          <w:p w:rsidR="00FE0FDC" w:rsidRPr="000015F9" w:rsidRDefault="00FE0FDC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2. Анализ и оценка. </w:t>
            </w:r>
          </w:p>
          <w:p w:rsidR="00C13F6F" w:rsidRPr="000015F9" w:rsidRDefault="0046638C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</w:t>
            </w:r>
            <w:r w:rsidR="00FE0FDC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Проведение анализа полученных исходных данных, материалов по стратегическим документам автономного округа и города, документам территориального развития. Оценка </w:t>
            </w: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полученных материалов.</w:t>
            </w:r>
          </w:p>
          <w:p w:rsidR="00EE704C" w:rsidRPr="000015F9" w:rsidRDefault="00EE704C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 Увязка и формирование проекта инвестиционной стратегии города</w:t>
            </w:r>
            <w:r w:rsidR="00527C94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:rsidR="00527C94" w:rsidRPr="000015F9" w:rsidRDefault="00527C94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Увязка полученных материалов со всеми основополагающими документами; подготовка и согласование </w:t>
            </w:r>
            <w:r w:rsidR="00FD14F8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проекта инвестиционной стратегии.</w:t>
            </w:r>
          </w:p>
          <w:p w:rsidR="00FD14F8" w:rsidRPr="000015F9" w:rsidRDefault="00FD14F8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4. Утверждение инвестиционной стратегии в составе стратегии социально-экономического развития города.</w:t>
            </w:r>
          </w:p>
          <w:p w:rsidR="00FD14F8" w:rsidRPr="000015F9" w:rsidRDefault="00F46393" w:rsidP="00AD0FAE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Общественное обсуждение проекта решения Думы города; корректировка (при необходимости); утверждение на заседании Думы города стратегии города, в состав которой входит инвестиционная </w:t>
            </w:r>
            <w:proofErr w:type="gramStart"/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стратегия.</w:t>
            </w:r>
            <w:r w:rsidR="00FD14F8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</w:t>
            </w:r>
            <w:proofErr w:type="gramEnd"/>
            <w:r w:rsidR="00FD14F8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</w:t>
            </w:r>
          </w:p>
        </w:tc>
      </w:tr>
      <w:tr w:rsidR="000015F9" w:rsidRPr="000015F9">
        <w:trPr>
          <w:trHeight w:val="832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Методическое содействие (контактное лицо)</w:t>
            </w:r>
          </w:p>
        </w:tc>
        <w:tc>
          <w:tcPr>
            <w:tcW w:w="7507" w:type="dxa"/>
            <w:vAlign w:val="center"/>
          </w:tcPr>
          <w:p w:rsidR="00C13F6F" w:rsidRPr="000015F9" w:rsidRDefault="00AD0FAE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Начальник отдела социально-экономического развития города управления по экономике Черновая Ирина Сергеевна</w:t>
            </w:r>
          </w:p>
        </w:tc>
      </w:tr>
      <w:tr w:rsidR="000015F9" w:rsidRPr="000015F9">
        <w:trPr>
          <w:trHeight w:val="845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тиражирования</w:t>
            </w:r>
          </w:p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(при наличии)</w:t>
            </w:r>
          </w:p>
        </w:tc>
        <w:tc>
          <w:tcPr>
            <w:tcW w:w="7507" w:type="dxa"/>
            <w:vAlign w:val="center"/>
          </w:tcPr>
          <w:p w:rsidR="00C13F6F" w:rsidRPr="000015F9" w:rsidRDefault="00E4649A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Особые условия тиражирования не требуется. Практика доступна всем муниципальным образованиям.</w:t>
            </w:r>
          </w:p>
        </w:tc>
      </w:tr>
      <w:tr w:rsidR="000015F9" w:rsidRPr="000015F9">
        <w:trPr>
          <w:trHeight w:val="845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Сколько стоила реализация?</w:t>
            </w:r>
          </w:p>
        </w:tc>
        <w:tc>
          <w:tcPr>
            <w:tcW w:w="7507" w:type="dxa"/>
            <w:vAlign w:val="center"/>
          </w:tcPr>
          <w:p w:rsidR="00C13F6F" w:rsidRPr="000015F9" w:rsidRDefault="00F459B3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Расходы в пределах бюджетных расходов на содержание специалистов (муниципальных служащих), занимающихся разработкой и формированием инвестиционной стратегии.</w:t>
            </w:r>
          </w:p>
        </w:tc>
      </w:tr>
      <w:tr w:rsidR="000015F9" w:rsidRPr="000015F9">
        <w:trPr>
          <w:trHeight w:val="711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Сложности </w:t>
            </w: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при внедрении</w:t>
            </w:r>
          </w:p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(при наличии)</w:t>
            </w:r>
          </w:p>
        </w:tc>
        <w:tc>
          <w:tcPr>
            <w:tcW w:w="7507" w:type="dxa"/>
            <w:vAlign w:val="center"/>
          </w:tcPr>
          <w:p w:rsidR="00C13F6F" w:rsidRPr="000015F9" w:rsidRDefault="000E678B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Отсутствуют </w:t>
            </w:r>
          </w:p>
        </w:tc>
      </w:tr>
      <w:tr w:rsidR="000015F9" w:rsidRPr="000015F9">
        <w:trPr>
          <w:trHeight w:val="705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Решаемые проблемы</w:t>
            </w:r>
          </w:p>
        </w:tc>
        <w:tc>
          <w:tcPr>
            <w:tcW w:w="7507" w:type="dxa"/>
            <w:vAlign w:val="center"/>
          </w:tcPr>
          <w:p w:rsidR="00C13F6F" w:rsidRPr="000015F9" w:rsidRDefault="000E678B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Формирование системы долгосрочных целей.</w:t>
            </w:r>
          </w:p>
          <w:p w:rsidR="000E678B" w:rsidRPr="000015F9" w:rsidRDefault="000E678B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Определение механизмов роста инвестиционного капитала</w:t>
            </w:r>
            <w:r w:rsidR="00AD0FAE"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0015F9" w:rsidRPr="000015F9">
        <w:trPr>
          <w:trHeight w:val="705"/>
        </w:trPr>
        <w:tc>
          <w:tcPr>
            <w:tcW w:w="2694" w:type="dxa"/>
            <w:vAlign w:val="center"/>
          </w:tcPr>
          <w:p w:rsidR="00C13F6F" w:rsidRPr="000015F9" w:rsidRDefault="008C1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Контактное лицо для взаимодействия по практике</w:t>
            </w:r>
          </w:p>
        </w:tc>
        <w:tc>
          <w:tcPr>
            <w:tcW w:w="7507" w:type="dxa"/>
            <w:vAlign w:val="center"/>
          </w:tcPr>
          <w:p w:rsidR="00C13F6F" w:rsidRPr="000015F9" w:rsidRDefault="00EE704C" w:rsidP="00F46393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015F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Начальник отдела проектного управления и инвестиций управления по экономике Наумова Надежда Александровна </w:t>
            </w:r>
          </w:p>
        </w:tc>
      </w:tr>
    </w:tbl>
    <w:p w:rsidR="00C13F6F" w:rsidRDefault="00C13F6F"/>
    <w:sectPr w:rsidR="00C13F6F">
      <w:head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7F" w:rsidRDefault="009E597F">
      <w:pPr>
        <w:spacing w:after="0" w:line="240" w:lineRule="auto"/>
      </w:pPr>
      <w:r>
        <w:separator/>
      </w:r>
    </w:p>
  </w:endnote>
  <w:endnote w:type="continuationSeparator" w:id="0">
    <w:p w:rsidR="009E597F" w:rsidRDefault="009E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7F" w:rsidRDefault="009E597F">
      <w:pPr>
        <w:spacing w:after="0" w:line="240" w:lineRule="auto"/>
      </w:pPr>
      <w:r>
        <w:separator/>
      </w:r>
    </w:p>
  </w:footnote>
  <w:footnote w:type="continuationSeparator" w:id="0">
    <w:p w:rsidR="009E597F" w:rsidRDefault="009E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F6F" w:rsidRDefault="00C13F6F">
    <w:pPr>
      <w:pStyle w:val="af5"/>
      <w:jc w:val="right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B03D2"/>
    <w:multiLevelType w:val="hybridMultilevel"/>
    <w:tmpl w:val="74B49752"/>
    <w:lvl w:ilvl="0" w:tplc="C3007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68EB466">
      <w:start w:val="1"/>
      <w:numFmt w:val="lowerLetter"/>
      <w:lvlText w:val="%2."/>
      <w:lvlJc w:val="left"/>
      <w:pPr>
        <w:ind w:left="1440" w:hanging="360"/>
      </w:pPr>
    </w:lvl>
    <w:lvl w:ilvl="2" w:tplc="34843270">
      <w:start w:val="1"/>
      <w:numFmt w:val="lowerRoman"/>
      <w:lvlText w:val="%3."/>
      <w:lvlJc w:val="right"/>
      <w:pPr>
        <w:ind w:left="2160" w:hanging="180"/>
      </w:pPr>
    </w:lvl>
    <w:lvl w:ilvl="3" w:tplc="62A6E3D6">
      <w:start w:val="1"/>
      <w:numFmt w:val="decimal"/>
      <w:lvlText w:val="%4."/>
      <w:lvlJc w:val="left"/>
      <w:pPr>
        <w:ind w:left="2880" w:hanging="360"/>
      </w:pPr>
    </w:lvl>
    <w:lvl w:ilvl="4" w:tplc="0A60660E">
      <w:start w:val="1"/>
      <w:numFmt w:val="lowerLetter"/>
      <w:lvlText w:val="%5."/>
      <w:lvlJc w:val="left"/>
      <w:pPr>
        <w:ind w:left="3600" w:hanging="360"/>
      </w:pPr>
    </w:lvl>
    <w:lvl w:ilvl="5" w:tplc="948646C4">
      <w:start w:val="1"/>
      <w:numFmt w:val="lowerRoman"/>
      <w:lvlText w:val="%6."/>
      <w:lvlJc w:val="right"/>
      <w:pPr>
        <w:ind w:left="4320" w:hanging="180"/>
      </w:pPr>
    </w:lvl>
    <w:lvl w:ilvl="6" w:tplc="63788610">
      <w:start w:val="1"/>
      <w:numFmt w:val="decimal"/>
      <w:lvlText w:val="%7."/>
      <w:lvlJc w:val="left"/>
      <w:pPr>
        <w:ind w:left="5040" w:hanging="360"/>
      </w:pPr>
    </w:lvl>
    <w:lvl w:ilvl="7" w:tplc="9F261096">
      <w:start w:val="1"/>
      <w:numFmt w:val="lowerLetter"/>
      <w:lvlText w:val="%8."/>
      <w:lvlJc w:val="left"/>
      <w:pPr>
        <w:ind w:left="5760" w:hanging="360"/>
      </w:pPr>
    </w:lvl>
    <w:lvl w:ilvl="8" w:tplc="9ACC02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6F"/>
    <w:rsid w:val="000015F9"/>
    <w:rsid w:val="00043D3E"/>
    <w:rsid w:val="000E24FF"/>
    <w:rsid w:val="000E678B"/>
    <w:rsid w:val="0028241C"/>
    <w:rsid w:val="002868F9"/>
    <w:rsid w:val="002D3F35"/>
    <w:rsid w:val="002F2D6C"/>
    <w:rsid w:val="003737C4"/>
    <w:rsid w:val="003E3D98"/>
    <w:rsid w:val="0046492D"/>
    <w:rsid w:val="0046638C"/>
    <w:rsid w:val="00491C0B"/>
    <w:rsid w:val="00527C94"/>
    <w:rsid w:val="00697E56"/>
    <w:rsid w:val="006B0620"/>
    <w:rsid w:val="00797888"/>
    <w:rsid w:val="008C12E0"/>
    <w:rsid w:val="008C2C75"/>
    <w:rsid w:val="009B693B"/>
    <w:rsid w:val="009E597F"/>
    <w:rsid w:val="00A92216"/>
    <w:rsid w:val="00AD0F34"/>
    <w:rsid w:val="00AD0FAE"/>
    <w:rsid w:val="00AE505B"/>
    <w:rsid w:val="00B54C87"/>
    <w:rsid w:val="00BD4020"/>
    <w:rsid w:val="00BE6E04"/>
    <w:rsid w:val="00C13F6F"/>
    <w:rsid w:val="00C266EF"/>
    <w:rsid w:val="00CB639C"/>
    <w:rsid w:val="00E40CAB"/>
    <w:rsid w:val="00E4649A"/>
    <w:rsid w:val="00EB62BC"/>
    <w:rsid w:val="00EE704C"/>
    <w:rsid w:val="00F27271"/>
    <w:rsid w:val="00F459B3"/>
    <w:rsid w:val="00F46393"/>
    <w:rsid w:val="00F50003"/>
    <w:rsid w:val="00FD14F8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AB712-D34D-4B45-AF75-E98D6F9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72F6-BCC9-4680-BA37-E3F0F319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 Артём Вадимович</dc:creator>
  <cp:keywords/>
  <dc:description/>
  <cp:lastModifiedBy>Надежда Наумова</cp:lastModifiedBy>
  <cp:revision>26</cp:revision>
  <dcterms:created xsi:type="dcterms:W3CDTF">2023-06-01T11:32:00Z</dcterms:created>
  <dcterms:modified xsi:type="dcterms:W3CDTF">2024-01-22T09:08:00Z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Правительство Сахалинской области
Правительство Саратовской области
Правительство Свердловской области
Правительство Калужской области
Правительство Ленинградской области
Правительство Липецкой области
Правительство Москвы
Правительство Московской области</vt:lpwstr>
  </property>
  <property fmtid="{D5CDD505-2E9C-101B-9397-08002B2CF9AE}" pid="3" name="Адресаты_ИО">
    <vt:lpwstr>Правительство Сахалинской областиПравительство Саратовской областиПравительство Свердловской областиПравительство Калужской областиПравительство Ленинградской областиПравительство Липецкой областиПравительство МосквыПравительство Московской областиПравите</vt:lpwstr>
  </property>
  <property fmtid="{D5CDD505-2E9C-101B-9397-08002B2CF9AE}" pid="4" name="Подписант_должность">
    <vt:lpwstr>Заместитель Министра</vt:lpwstr>
  </property>
  <property fmtid="{D5CDD505-2E9C-101B-9397-08002B2CF9AE}" pid="5" name="Подписант_Подразделение">
    <vt:lpwstr>Секретариат М.А. Керефова</vt:lpwstr>
  </property>
  <property fmtid="{D5CDD505-2E9C-101B-9397-08002B2CF9AE}" pid="6" name="Подписант_ФИО">
    <vt:lpwstr>М.А.Керефов</vt:lpwstr>
  </property>
  <property fmtid="{D5CDD505-2E9C-101B-9397-08002B2CF9AE}" pid="7" name="Исполнитель_1">
    <vt:lpwstr>А.В.Беда
Д28 Департамент производительности труда, защиты и поощрения капиталовложений
</vt:lpwstr>
  </property>
  <property fmtid="{D5CDD505-2E9C-101B-9397-08002B2CF9AE}" pid="8" name="Исполнитель_2">
    <vt:lpwstr>А.В.Беда
Д28 Департамент производительности труда, защиты и поощрения капиталовложений
</vt:lpwstr>
  </property>
  <property fmtid="{D5CDD505-2E9C-101B-9397-08002B2CF9AE}" pid="9" name="Пол адресата">
    <vt:lpwstr/>
  </property>
</Properties>
</file>