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25" w:rsidRPr="00EB4C63" w:rsidRDefault="00D81525" w:rsidP="00846EC5">
      <w:pPr>
        <w:autoSpaceDE w:val="0"/>
        <w:autoSpaceDN w:val="0"/>
        <w:adjustRightInd w:val="0"/>
        <w:jc w:val="center"/>
        <w:rPr>
          <w:b/>
          <w:sz w:val="28"/>
          <w:szCs w:val="28"/>
          <w:lang w:eastAsia="x-none"/>
        </w:rPr>
      </w:pPr>
      <w:r w:rsidRPr="00EB4C63">
        <w:rPr>
          <w:b/>
          <w:sz w:val="28"/>
          <w:szCs w:val="28"/>
          <w:lang w:eastAsia="x-none"/>
        </w:rPr>
        <w:t>Сообщение</w:t>
      </w:r>
    </w:p>
    <w:p w:rsidR="00D81525" w:rsidRPr="00EB4C63" w:rsidRDefault="00D81525" w:rsidP="00E249BC">
      <w:pPr>
        <w:autoSpaceDE w:val="0"/>
        <w:autoSpaceDN w:val="0"/>
        <w:adjustRightInd w:val="0"/>
        <w:jc w:val="center"/>
        <w:rPr>
          <w:b/>
          <w:sz w:val="28"/>
          <w:szCs w:val="28"/>
          <w:lang w:eastAsia="x-none"/>
        </w:rPr>
      </w:pPr>
      <w:r w:rsidRPr="00EB4C63">
        <w:rPr>
          <w:b/>
          <w:sz w:val="28"/>
          <w:szCs w:val="28"/>
          <w:lang w:eastAsia="x-none"/>
        </w:rPr>
        <w:t>о проведении отрытого</w:t>
      </w:r>
      <w:r w:rsidR="00E249BC" w:rsidRPr="00EB4C63">
        <w:rPr>
          <w:b/>
          <w:sz w:val="28"/>
          <w:szCs w:val="28"/>
          <w:lang w:eastAsia="x-none"/>
        </w:rPr>
        <w:t xml:space="preserve"> конкурса</w:t>
      </w:r>
      <w:r w:rsidRPr="00EB4C63">
        <w:rPr>
          <w:b/>
          <w:sz w:val="28"/>
          <w:szCs w:val="28"/>
          <w:lang w:eastAsia="x-none"/>
        </w:rPr>
        <w:t xml:space="preserve"> </w:t>
      </w:r>
      <w:r w:rsidR="00E249BC" w:rsidRPr="00EB4C63">
        <w:rPr>
          <w:b/>
          <w:sz w:val="28"/>
          <w:szCs w:val="28"/>
          <w:lang w:eastAsia="x-none"/>
        </w:rPr>
        <w:t>в отношении объектов, предназначенных для наружного: уличного и внутриквартального (дворового) освещения территории города Пыть-Яха</w:t>
      </w:r>
    </w:p>
    <w:p w:rsidR="00E249BC" w:rsidRPr="00EB4C63" w:rsidRDefault="00E249BC" w:rsidP="00E249BC">
      <w:pPr>
        <w:autoSpaceDE w:val="0"/>
        <w:autoSpaceDN w:val="0"/>
        <w:adjustRightInd w:val="0"/>
        <w:jc w:val="center"/>
        <w:rPr>
          <w:sz w:val="28"/>
          <w:szCs w:val="28"/>
          <w:lang w:eastAsia="x-none"/>
        </w:rPr>
      </w:pPr>
    </w:p>
    <w:p w:rsidR="00D81525" w:rsidRPr="00EB4C63" w:rsidRDefault="00A45589" w:rsidP="00D81525">
      <w:pPr>
        <w:autoSpaceDE w:val="0"/>
        <w:autoSpaceDN w:val="0"/>
        <w:adjustRightInd w:val="0"/>
        <w:ind w:firstLine="708"/>
        <w:jc w:val="both"/>
        <w:rPr>
          <w:sz w:val="28"/>
          <w:szCs w:val="28"/>
          <w:lang w:eastAsia="x-none"/>
        </w:rPr>
      </w:pPr>
      <w:r>
        <w:rPr>
          <w:sz w:val="28"/>
          <w:szCs w:val="28"/>
          <w:lang w:eastAsia="x-none"/>
        </w:rPr>
        <w:t>Администрация города П</w:t>
      </w:r>
      <w:r w:rsidR="00E72856" w:rsidRPr="00EB4C63">
        <w:rPr>
          <w:sz w:val="28"/>
          <w:szCs w:val="28"/>
          <w:lang w:eastAsia="x-none"/>
        </w:rPr>
        <w:t xml:space="preserve">ыть-Яха </w:t>
      </w:r>
      <w:r w:rsidR="00D81525" w:rsidRPr="00EB4C63">
        <w:rPr>
          <w:sz w:val="28"/>
          <w:szCs w:val="28"/>
          <w:lang w:eastAsia="x-none"/>
        </w:rPr>
        <w:t xml:space="preserve">сообщает о проведении открытого конкурса на право заключения концессионного соглашения </w:t>
      </w:r>
      <w:r w:rsidR="00D16405" w:rsidRPr="00EB4C63">
        <w:rPr>
          <w:sz w:val="28"/>
          <w:szCs w:val="28"/>
          <w:lang w:eastAsia="x-none"/>
        </w:rPr>
        <w:t>в отношении объектов, предназначенных для наружного: уличного и внутриквартального (дворового) освещения территории город</w:t>
      </w:r>
      <w:r w:rsidR="00185213" w:rsidRPr="00EB4C63">
        <w:rPr>
          <w:sz w:val="28"/>
          <w:szCs w:val="28"/>
          <w:lang w:eastAsia="x-none"/>
        </w:rPr>
        <w:t>а</w:t>
      </w:r>
      <w:r w:rsidR="00D16405" w:rsidRPr="00EB4C63">
        <w:rPr>
          <w:sz w:val="28"/>
          <w:szCs w:val="28"/>
          <w:lang w:eastAsia="x-none"/>
        </w:rPr>
        <w:t xml:space="preserve"> Пыть-Ях</w:t>
      </w:r>
      <w:r w:rsidR="00185213" w:rsidRPr="00EB4C63">
        <w:rPr>
          <w:sz w:val="28"/>
          <w:szCs w:val="28"/>
          <w:lang w:eastAsia="x-none"/>
        </w:rPr>
        <w:t>а</w:t>
      </w:r>
      <w:r w:rsidR="00D16405" w:rsidRPr="00EB4C63">
        <w:rPr>
          <w:sz w:val="28"/>
          <w:szCs w:val="28"/>
          <w:lang w:eastAsia="x-none"/>
        </w:rPr>
        <w:t xml:space="preserve"> </w:t>
      </w:r>
      <w:r w:rsidR="00D81525" w:rsidRPr="00EB4C63">
        <w:rPr>
          <w:sz w:val="28"/>
          <w:szCs w:val="28"/>
          <w:lang w:eastAsia="x-none"/>
        </w:rPr>
        <w:t>(далее – Конкурс, Концессионное соглашение).</w:t>
      </w:r>
    </w:p>
    <w:p w:rsidR="00E72856" w:rsidRPr="00EB4C63" w:rsidRDefault="00E72856" w:rsidP="000F348B">
      <w:pPr>
        <w:ind w:right="-1" w:firstLine="708"/>
        <w:jc w:val="both"/>
        <w:rPr>
          <w:rFonts w:eastAsia="Calibri"/>
          <w:sz w:val="28"/>
          <w:szCs w:val="28"/>
        </w:rPr>
      </w:pPr>
      <w:r w:rsidRPr="00EB4C63">
        <w:rPr>
          <w:sz w:val="28"/>
          <w:szCs w:val="28"/>
          <w:lang w:eastAsia="x-none"/>
        </w:rPr>
        <w:t xml:space="preserve">Основание для проведения конкурса является распоряжение администрации города </w:t>
      </w:r>
      <w:r w:rsidR="000B59C0" w:rsidRPr="00EB4C63">
        <w:rPr>
          <w:sz w:val="28"/>
          <w:szCs w:val="28"/>
          <w:lang w:eastAsia="x-none"/>
        </w:rPr>
        <w:t>от 07.04.2022</w:t>
      </w:r>
      <w:r w:rsidR="00A45589">
        <w:rPr>
          <w:sz w:val="28"/>
          <w:szCs w:val="28"/>
          <w:lang w:eastAsia="x-none"/>
        </w:rPr>
        <w:t xml:space="preserve"> </w:t>
      </w:r>
      <w:r w:rsidRPr="00EB4C63">
        <w:rPr>
          <w:sz w:val="28"/>
          <w:szCs w:val="28"/>
          <w:lang w:eastAsia="x-none"/>
        </w:rPr>
        <w:t xml:space="preserve">№ </w:t>
      </w:r>
      <w:r w:rsidR="000B59C0" w:rsidRPr="00EB4C63">
        <w:rPr>
          <w:sz w:val="28"/>
          <w:szCs w:val="28"/>
          <w:lang w:eastAsia="x-none"/>
        </w:rPr>
        <w:t xml:space="preserve">566-ра </w:t>
      </w:r>
      <w:r w:rsidRPr="00EB4C63">
        <w:rPr>
          <w:sz w:val="28"/>
          <w:szCs w:val="28"/>
          <w:lang w:eastAsia="x-none"/>
        </w:rPr>
        <w:t>«</w:t>
      </w:r>
      <w:r w:rsidRPr="00EB4C63">
        <w:rPr>
          <w:sz w:val="28"/>
          <w:szCs w:val="28"/>
        </w:rPr>
        <w:t>О проведении открытого конкурса на право заключени</w:t>
      </w:r>
      <w:r w:rsidR="000B59C0" w:rsidRPr="00EB4C63">
        <w:rPr>
          <w:sz w:val="28"/>
          <w:szCs w:val="28"/>
        </w:rPr>
        <w:t>я</w:t>
      </w:r>
      <w:r w:rsidRPr="00EB4C63">
        <w:rPr>
          <w:sz w:val="28"/>
          <w:szCs w:val="28"/>
        </w:rPr>
        <w:t xml:space="preserve"> концессионного соглашения в отношении объектов, предназначенных для </w:t>
      </w:r>
      <w:r w:rsidRPr="00EB4C63">
        <w:rPr>
          <w:rFonts w:eastAsia="Arial"/>
          <w:sz w:val="28"/>
          <w:szCs w:val="28"/>
          <w:lang w:eastAsia="ar-SA"/>
        </w:rPr>
        <w:t>наружного: уличного и внутриквартального (дворового) освещения территории города Пыть-Яха</w:t>
      </w:r>
      <w:r w:rsidRPr="00EB4C63">
        <w:rPr>
          <w:sz w:val="28"/>
          <w:szCs w:val="28"/>
        </w:rPr>
        <w:t>»</w:t>
      </w:r>
      <w:r w:rsidR="00934BF5">
        <w:rPr>
          <w:sz w:val="28"/>
          <w:szCs w:val="28"/>
        </w:rPr>
        <w:t xml:space="preserve"> (ред. от 29.04.2022 №729-ра</w:t>
      </w:r>
      <w:bookmarkStart w:id="0" w:name="_GoBack"/>
      <w:bookmarkEnd w:id="0"/>
      <w:r w:rsidR="00A45589">
        <w:rPr>
          <w:sz w:val="28"/>
          <w:szCs w:val="28"/>
        </w:rPr>
        <w:t>).</w:t>
      </w:r>
    </w:p>
    <w:p w:rsidR="00E72856" w:rsidRPr="00EB4C63" w:rsidRDefault="00E72856" w:rsidP="00D81525">
      <w:pPr>
        <w:autoSpaceDE w:val="0"/>
        <w:autoSpaceDN w:val="0"/>
        <w:adjustRightInd w:val="0"/>
        <w:ind w:firstLine="708"/>
        <w:jc w:val="both"/>
        <w:rPr>
          <w:sz w:val="28"/>
          <w:szCs w:val="28"/>
          <w:lang w:eastAsia="x-none"/>
        </w:rPr>
      </w:pPr>
    </w:p>
    <w:p w:rsidR="00E72856"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 xml:space="preserve">Концедентом по Концессионному соглашению является </w:t>
      </w:r>
      <w:r w:rsidR="00D16405" w:rsidRPr="00EB4C63">
        <w:rPr>
          <w:sz w:val="28"/>
          <w:szCs w:val="28"/>
          <w:lang w:eastAsia="x-none"/>
        </w:rPr>
        <w:t>город Пыть-Ях</w:t>
      </w:r>
      <w:r w:rsidRPr="00EB4C63">
        <w:rPr>
          <w:sz w:val="28"/>
          <w:szCs w:val="28"/>
          <w:lang w:eastAsia="x-none"/>
        </w:rPr>
        <w:t xml:space="preserve">. Полномочия Концедента по заключению, изменению и прекращению Концессионного соглашения от имени Концедента осуществляет администрация </w:t>
      </w:r>
      <w:r w:rsidR="00D16405" w:rsidRPr="00EB4C63">
        <w:rPr>
          <w:sz w:val="28"/>
          <w:szCs w:val="28"/>
          <w:lang w:eastAsia="x-none"/>
        </w:rPr>
        <w:t>города Пыть-Яха</w:t>
      </w:r>
      <w:r w:rsidR="000F348B" w:rsidRPr="00EB4C63">
        <w:rPr>
          <w:sz w:val="28"/>
          <w:szCs w:val="28"/>
          <w:lang w:eastAsia="x-none"/>
        </w:rPr>
        <w:t xml:space="preserve"> (далее – Организатор Конкурса).</w:t>
      </w:r>
    </w:p>
    <w:p w:rsidR="00D81525" w:rsidRPr="00EB4C63" w:rsidRDefault="00E72856" w:rsidP="00D81525">
      <w:pPr>
        <w:autoSpaceDE w:val="0"/>
        <w:autoSpaceDN w:val="0"/>
        <w:adjustRightInd w:val="0"/>
        <w:ind w:firstLine="708"/>
        <w:jc w:val="both"/>
        <w:rPr>
          <w:sz w:val="28"/>
          <w:szCs w:val="28"/>
          <w:lang w:eastAsia="x-none"/>
        </w:rPr>
      </w:pPr>
      <w:r w:rsidRPr="00EB4C63">
        <w:rPr>
          <w:sz w:val="28"/>
          <w:szCs w:val="28"/>
          <w:lang w:eastAsia="x-none"/>
        </w:rPr>
        <w:t>Местонахождение Концедента: 62</w:t>
      </w:r>
      <w:r w:rsidR="00D16405" w:rsidRPr="00EB4C63">
        <w:rPr>
          <w:rFonts w:eastAsia="Calibri"/>
          <w:sz w:val="28"/>
          <w:szCs w:val="28"/>
        </w:rPr>
        <w:t>8380</w:t>
      </w:r>
      <w:r w:rsidR="00D81525" w:rsidRPr="00EB4C63">
        <w:rPr>
          <w:rFonts w:eastAsia="Calibri"/>
          <w:sz w:val="28"/>
          <w:szCs w:val="28"/>
        </w:rPr>
        <w:t xml:space="preserve">, Ханты-Мансийский автономный округ – Югра, </w:t>
      </w:r>
      <w:r w:rsidR="00D16405" w:rsidRPr="00EB4C63">
        <w:rPr>
          <w:rFonts w:eastAsia="Calibri"/>
          <w:sz w:val="28"/>
          <w:szCs w:val="28"/>
        </w:rPr>
        <w:t>город Пыть-Ях</w:t>
      </w:r>
      <w:r w:rsidR="00D81525" w:rsidRPr="00EB4C63">
        <w:rPr>
          <w:rFonts w:eastAsia="Calibri"/>
          <w:sz w:val="28"/>
          <w:szCs w:val="28"/>
        </w:rPr>
        <w:t>,</w:t>
      </w:r>
      <w:r w:rsidR="00D16405" w:rsidRPr="00EB4C63">
        <w:rPr>
          <w:rFonts w:eastAsia="Calibri"/>
          <w:sz w:val="28"/>
          <w:szCs w:val="28"/>
        </w:rPr>
        <w:t xml:space="preserve"> мкр. 1-й «Центральный»</w:t>
      </w:r>
      <w:r w:rsidR="00D81525" w:rsidRPr="00EB4C63">
        <w:rPr>
          <w:rFonts w:eastAsia="Calibri"/>
          <w:sz w:val="28"/>
          <w:szCs w:val="28"/>
        </w:rPr>
        <w:t xml:space="preserve">, д. </w:t>
      </w:r>
      <w:r w:rsidR="00D16405" w:rsidRPr="00EB4C63">
        <w:rPr>
          <w:rFonts w:eastAsia="Calibri"/>
          <w:sz w:val="28"/>
          <w:szCs w:val="28"/>
        </w:rPr>
        <w:t>18А</w:t>
      </w:r>
      <w:r w:rsidR="004D1F95" w:rsidRPr="00EB4C63">
        <w:rPr>
          <w:sz w:val="28"/>
          <w:szCs w:val="28"/>
          <w:lang w:eastAsia="x-none"/>
        </w:rPr>
        <w:t>, тел.</w:t>
      </w:r>
      <w:r w:rsidR="00ED0BFF" w:rsidRPr="00EB4C63">
        <w:rPr>
          <w:sz w:val="28"/>
          <w:szCs w:val="28"/>
          <w:lang w:eastAsia="x-none"/>
        </w:rPr>
        <w:t>8(3463)46-55-0</w:t>
      </w:r>
      <w:r w:rsidR="000273A0">
        <w:rPr>
          <w:sz w:val="28"/>
          <w:szCs w:val="28"/>
          <w:lang w:eastAsia="x-none"/>
        </w:rPr>
        <w:t>1</w:t>
      </w:r>
      <w:r w:rsidR="000F348B" w:rsidRPr="00EB4C63">
        <w:rPr>
          <w:sz w:val="28"/>
          <w:szCs w:val="28"/>
          <w:lang w:eastAsia="x-none"/>
        </w:rPr>
        <w:t>.</w:t>
      </w:r>
    </w:p>
    <w:p w:rsidR="00D81525"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 xml:space="preserve">По всем вопросам, связанным с проведением Конкурса, следует обращаться в Конкурсную комиссию по месту нахождения (почтовый адрес): </w:t>
      </w:r>
      <w:r w:rsidRPr="00EB4C63">
        <w:rPr>
          <w:rFonts w:eastAsia="Calibri"/>
          <w:sz w:val="28"/>
          <w:szCs w:val="28"/>
        </w:rPr>
        <w:t>628</w:t>
      </w:r>
      <w:r w:rsidR="004D1F95" w:rsidRPr="00EB4C63">
        <w:rPr>
          <w:rFonts w:eastAsia="Calibri"/>
          <w:sz w:val="28"/>
          <w:szCs w:val="28"/>
        </w:rPr>
        <w:t>380</w:t>
      </w:r>
      <w:r w:rsidRPr="00EB4C63">
        <w:rPr>
          <w:rFonts w:eastAsia="Calibri"/>
          <w:sz w:val="28"/>
          <w:szCs w:val="28"/>
        </w:rPr>
        <w:t xml:space="preserve">, Ханты-Мансийский автономный округ – Югра, </w:t>
      </w:r>
      <w:r w:rsidR="004D1F95" w:rsidRPr="00EB4C63">
        <w:rPr>
          <w:rFonts w:eastAsia="Calibri"/>
          <w:sz w:val="28"/>
          <w:szCs w:val="28"/>
        </w:rPr>
        <w:t>город Пыть-Ях</w:t>
      </w:r>
      <w:r w:rsidRPr="00EB4C63">
        <w:rPr>
          <w:rFonts w:eastAsia="Calibri"/>
          <w:sz w:val="28"/>
          <w:szCs w:val="28"/>
        </w:rPr>
        <w:t xml:space="preserve">, </w:t>
      </w:r>
      <w:r w:rsidR="004D1F95" w:rsidRPr="00EB4C63">
        <w:rPr>
          <w:rFonts w:eastAsia="Calibri"/>
          <w:sz w:val="28"/>
          <w:szCs w:val="28"/>
        </w:rPr>
        <w:t>мкр. 1-й «Центральный», д. 18А</w:t>
      </w:r>
      <w:r w:rsidRPr="00EB4C63">
        <w:rPr>
          <w:sz w:val="28"/>
          <w:szCs w:val="28"/>
          <w:lang w:eastAsia="x-none"/>
        </w:rPr>
        <w:t>, тел. (</w:t>
      </w:r>
      <w:r w:rsidR="004D1F95" w:rsidRPr="00EB4C63">
        <w:rPr>
          <w:sz w:val="28"/>
          <w:szCs w:val="28"/>
          <w:lang w:eastAsia="x-none"/>
        </w:rPr>
        <w:t>3463</w:t>
      </w:r>
      <w:r w:rsidRPr="00EB4C63">
        <w:rPr>
          <w:sz w:val="28"/>
          <w:szCs w:val="28"/>
          <w:lang w:eastAsia="x-none"/>
        </w:rPr>
        <w:t xml:space="preserve">) </w:t>
      </w:r>
      <w:r w:rsidR="004D1F95" w:rsidRPr="00EB4C63">
        <w:rPr>
          <w:sz w:val="28"/>
          <w:szCs w:val="28"/>
          <w:lang w:eastAsia="x-none"/>
        </w:rPr>
        <w:t>46-55</w:t>
      </w:r>
      <w:r w:rsidRPr="00EB4C63">
        <w:rPr>
          <w:sz w:val="28"/>
          <w:szCs w:val="28"/>
          <w:lang w:eastAsia="x-none"/>
        </w:rPr>
        <w:t>-</w:t>
      </w:r>
      <w:r w:rsidR="004D1F95" w:rsidRPr="00EB4C63">
        <w:rPr>
          <w:sz w:val="28"/>
          <w:szCs w:val="28"/>
          <w:lang w:eastAsia="x-none"/>
        </w:rPr>
        <w:t>80</w:t>
      </w:r>
      <w:r w:rsidRPr="00EB4C63">
        <w:rPr>
          <w:sz w:val="28"/>
          <w:szCs w:val="28"/>
          <w:lang w:eastAsia="x-none"/>
        </w:rPr>
        <w:t>, адрес электронной почты:</w:t>
      </w:r>
      <w:r w:rsidR="004D1F95" w:rsidRPr="00EB4C63">
        <w:rPr>
          <w:sz w:val="28"/>
          <w:szCs w:val="28"/>
          <w:lang w:eastAsia="x-none"/>
        </w:rPr>
        <w:t xml:space="preserve"> </w:t>
      </w:r>
      <w:hyperlink r:id="rId7" w:history="1">
        <w:r w:rsidR="00ED0BFF" w:rsidRPr="00EB4C63">
          <w:rPr>
            <w:rStyle w:val="a9"/>
            <w:color w:val="auto"/>
            <w:sz w:val="28"/>
            <w:szCs w:val="28"/>
            <w:lang w:val="en-US" w:eastAsia="x-none"/>
          </w:rPr>
          <w:t>adm</w:t>
        </w:r>
        <w:r w:rsidR="00ED0BFF" w:rsidRPr="00EB4C63">
          <w:rPr>
            <w:rStyle w:val="a9"/>
            <w:color w:val="auto"/>
            <w:sz w:val="28"/>
            <w:szCs w:val="28"/>
            <w:lang w:eastAsia="x-none"/>
          </w:rPr>
          <w:t>@</w:t>
        </w:r>
        <w:r w:rsidR="00ED0BFF" w:rsidRPr="00EB4C63">
          <w:rPr>
            <w:rStyle w:val="a9"/>
            <w:color w:val="auto"/>
            <w:sz w:val="28"/>
            <w:szCs w:val="28"/>
            <w:lang w:val="en-US" w:eastAsia="x-none"/>
          </w:rPr>
          <w:t>gov</w:t>
        </w:r>
        <w:r w:rsidR="00ED0BFF" w:rsidRPr="00EB4C63">
          <w:rPr>
            <w:rStyle w:val="a9"/>
            <w:color w:val="auto"/>
            <w:sz w:val="28"/>
            <w:szCs w:val="28"/>
            <w:lang w:eastAsia="x-none"/>
          </w:rPr>
          <w:t>86.</w:t>
        </w:r>
        <w:r w:rsidR="00ED0BFF" w:rsidRPr="00EB4C63">
          <w:rPr>
            <w:rStyle w:val="a9"/>
            <w:color w:val="auto"/>
            <w:sz w:val="28"/>
            <w:szCs w:val="28"/>
            <w:lang w:val="en-US" w:eastAsia="x-none"/>
          </w:rPr>
          <w:t>org</w:t>
        </w:r>
      </w:hyperlink>
      <w:r w:rsidR="00ED0BFF" w:rsidRPr="00EB4C63">
        <w:rPr>
          <w:sz w:val="28"/>
          <w:szCs w:val="28"/>
          <w:lang w:eastAsia="x-none"/>
        </w:rPr>
        <w:t>.</w:t>
      </w:r>
      <w:r w:rsidRPr="00EB4C63">
        <w:rPr>
          <w:sz w:val="28"/>
          <w:szCs w:val="28"/>
          <w:lang w:eastAsia="x-none"/>
        </w:rPr>
        <w:t xml:space="preserve"> Контактное лицо: </w:t>
      </w:r>
      <w:r w:rsidR="00C726D3" w:rsidRPr="00EB4C63">
        <w:rPr>
          <w:sz w:val="28"/>
          <w:szCs w:val="28"/>
          <w:lang w:eastAsia="x-none"/>
        </w:rPr>
        <w:t>Маслак Сергей Васильевич</w:t>
      </w:r>
      <w:r w:rsidRPr="00EB4C63">
        <w:rPr>
          <w:sz w:val="28"/>
          <w:szCs w:val="28"/>
          <w:lang w:eastAsia="x-none"/>
        </w:rPr>
        <w:t xml:space="preserve"> –</w:t>
      </w:r>
      <w:r w:rsidR="004D1F95" w:rsidRPr="00EB4C63">
        <w:rPr>
          <w:sz w:val="28"/>
          <w:szCs w:val="28"/>
          <w:lang w:eastAsia="x-none"/>
        </w:rPr>
        <w:t xml:space="preserve"> начальник управления по экономике, секретарь комиссии, контактный телефон (3463</w:t>
      </w:r>
      <w:r w:rsidRPr="00EB4C63">
        <w:rPr>
          <w:sz w:val="28"/>
          <w:szCs w:val="28"/>
          <w:lang w:eastAsia="x-none"/>
        </w:rPr>
        <w:t xml:space="preserve">) </w:t>
      </w:r>
      <w:r w:rsidR="004D1F95" w:rsidRPr="00EB4C63">
        <w:rPr>
          <w:sz w:val="28"/>
          <w:szCs w:val="28"/>
          <w:lang w:eastAsia="x-none"/>
        </w:rPr>
        <w:t>46</w:t>
      </w:r>
      <w:r w:rsidRPr="00EB4C63">
        <w:rPr>
          <w:sz w:val="28"/>
          <w:szCs w:val="28"/>
          <w:lang w:eastAsia="x-none"/>
        </w:rPr>
        <w:t>-</w:t>
      </w:r>
      <w:r w:rsidR="004D1F95" w:rsidRPr="00EB4C63">
        <w:rPr>
          <w:sz w:val="28"/>
          <w:szCs w:val="28"/>
          <w:lang w:eastAsia="x-none"/>
        </w:rPr>
        <w:t>55</w:t>
      </w:r>
      <w:r w:rsidRPr="00EB4C63">
        <w:rPr>
          <w:sz w:val="28"/>
          <w:szCs w:val="28"/>
          <w:lang w:eastAsia="x-none"/>
        </w:rPr>
        <w:t>-</w:t>
      </w:r>
      <w:r w:rsidR="00C726D3" w:rsidRPr="00EB4C63">
        <w:rPr>
          <w:sz w:val="28"/>
          <w:szCs w:val="28"/>
          <w:lang w:eastAsia="x-none"/>
        </w:rPr>
        <w:t>15</w:t>
      </w:r>
      <w:r w:rsidRPr="00EB4C63">
        <w:rPr>
          <w:sz w:val="28"/>
          <w:szCs w:val="28"/>
          <w:lang w:eastAsia="x-none"/>
        </w:rPr>
        <w:t xml:space="preserve">. </w:t>
      </w:r>
    </w:p>
    <w:p w:rsidR="00D81525"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Для получения конкурсной документации по Конкурсу (далее – Конкурсная документация) заинтересованному лицу необходимо направить письменное заявление в адрес Конкурсной комиссии о предоставлении Конкурсной документации с указанием своего официального представителя и способа получения Конкурсной документации: по электронной почте</w:t>
      </w:r>
      <w:r w:rsidR="004809E4">
        <w:rPr>
          <w:sz w:val="28"/>
          <w:szCs w:val="28"/>
          <w:lang w:eastAsia="x-none"/>
        </w:rPr>
        <w:t>,</w:t>
      </w:r>
      <w:r w:rsidRPr="00EB4C63">
        <w:rPr>
          <w:sz w:val="28"/>
          <w:szCs w:val="28"/>
          <w:lang w:eastAsia="x-none"/>
        </w:rPr>
        <w:t xml:space="preserve"> по почте или путем вручения лично.</w:t>
      </w:r>
    </w:p>
    <w:p w:rsidR="000B59C0"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 xml:space="preserve">В течение </w:t>
      </w:r>
      <w:r w:rsidR="00A45589">
        <w:rPr>
          <w:sz w:val="28"/>
          <w:szCs w:val="28"/>
          <w:lang w:eastAsia="x-none"/>
        </w:rPr>
        <w:t>2</w:t>
      </w:r>
      <w:r w:rsidRPr="00EB4C63">
        <w:rPr>
          <w:sz w:val="28"/>
          <w:szCs w:val="28"/>
          <w:lang w:eastAsia="x-none"/>
        </w:rPr>
        <w:t xml:space="preserve"> (</w:t>
      </w:r>
      <w:r w:rsidR="00A45589">
        <w:rPr>
          <w:sz w:val="28"/>
          <w:szCs w:val="28"/>
          <w:lang w:eastAsia="x-none"/>
        </w:rPr>
        <w:t>двух</w:t>
      </w:r>
      <w:r w:rsidRPr="00EB4C63">
        <w:rPr>
          <w:sz w:val="28"/>
          <w:szCs w:val="28"/>
          <w:lang w:eastAsia="x-none"/>
        </w:rPr>
        <w:t>) рабочих дней со дня получения Конкурсной комиссией заявления о предоставлении Конкурсной документации обратившемуся лицу бесплатно передается Конкурсная документация</w:t>
      </w:r>
      <w:r w:rsidR="000B59C0" w:rsidRPr="00EB4C63">
        <w:rPr>
          <w:sz w:val="28"/>
          <w:szCs w:val="28"/>
          <w:lang w:eastAsia="x-none"/>
        </w:rPr>
        <w:t xml:space="preserve">. </w:t>
      </w:r>
    </w:p>
    <w:p w:rsidR="000273A0" w:rsidRPr="000273A0" w:rsidRDefault="00D81525" w:rsidP="000273A0">
      <w:pPr>
        <w:ind w:firstLine="851"/>
        <w:jc w:val="both"/>
        <w:rPr>
          <w:sz w:val="28"/>
          <w:szCs w:val="28"/>
        </w:rPr>
      </w:pPr>
      <w:r w:rsidRPr="000273A0">
        <w:rPr>
          <w:sz w:val="28"/>
          <w:szCs w:val="28"/>
          <w:lang w:eastAsia="x-none"/>
        </w:rPr>
        <w:t>Конкурсная документация также размещается на официальном сайте Российс</w:t>
      </w:r>
      <w:r w:rsidR="000273A0" w:rsidRPr="000273A0">
        <w:rPr>
          <w:sz w:val="28"/>
          <w:szCs w:val="28"/>
          <w:lang w:eastAsia="x-none"/>
        </w:rPr>
        <w:t xml:space="preserve">кой Федерации: </w:t>
      </w:r>
      <w:hyperlink r:id="rId8" w:history="1">
        <w:r w:rsidR="000273A0" w:rsidRPr="000273A0">
          <w:rPr>
            <w:rStyle w:val="a9"/>
            <w:sz w:val="28"/>
            <w:szCs w:val="28"/>
            <w:u w:val="none"/>
            <w:lang w:eastAsia="x-none"/>
          </w:rPr>
          <w:t>www.torgi.gov.ru</w:t>
        </w:r>
      </w:hyperlink>
      <w:r w:rsidR="000273A0" w:rsidRPr="000273A0">
        <w:rPr>
          <w:sz w:val="28"/>
          <w:szCs w:val="28"/>
          <w:lang w:eastAsia="x-none"/>
        </w:rPr>
        <w:t>, о</w:t>
      </w:r>
      <w:r w:rsidR="000273A0" w:rsidRPr="000273A0">
        <w:rPr>
          <w:sz w:val="28"/>
          <w:szCs w:val="28"/>
        </w:rPr>
        <w:t xml:space="preserve">фициальном сайте Концедента – </w:t>
      </w:r>
      <w:hyperlink r:id="rId9" w:history="1">
        <w:r w:rsidR="00A45589" w:rsidRPr="00AE6F34">
          <w:rPr>
            <w:rStyle w:val="a9"/>
            <w:sz w:val="28"/>
            <w:szCs w:val="28"/>
          </w:rPr>
          <w:t>http://adm.gov86.org/</w:t>
        </w:r>
      </w:hyperlink>
      <w:r w:rsidR="000273A0" w:rsidRPr="000273A0">
        <w:rPr>
          <w:rStyle w:val="a9"/>
          <w:color w:val="auto"/>
          <w:sz w:val="28"/>
          <w:szCs w:val="28"/>
          <w:u w:val="none"/>
        </w:rPr>
        <w:t xml:space="preserve">, инвестиционном портале города Пыть-Ях - </w:t>
      </w:r>
      <w:hyperlink r:id="rId10" w:history="1">
        <w:r w:rsidR="00A45589" w:rsidRPr="00AE6F34">
          <w:rPr>
            <w:rStyle w:val="a9"/>
            <w:sz w:val="28"/>
            <w:szCs w:val="28"/>
          </w:rPr>
          <w:t>http://invest.gov86.org/</w:t>
        </w:r>
      </w:hyperlink>
      <w:r w:rsidR="00A45589">
        <w:rPr>
          <w:rStyle w:val="a9"/>
          <w:color w:val="auto"/>
          <w:sz w:val="28"/>
          <w:szCs w:val="28"/>
          <w:u w:val="none"/>
        </w:rPr>
        <w:t xml:space="preserve"> </w:t>
      </w:r>
      <w:r w:rsidR="000273A0" w:rsidRPr="000273A0">
        <w:rPr>
          <w:rStyle w:val="a9"/>
          <w:color w:val="auto"/>
          <w:sz w:val="28"/>
          <w:szCs w:val="28"/>
          <w:u w:val="none"/>
        </w:rPr>
        <w:t>.</w:t>
      </w:r>
    </w:p>
    <w:p w:rsidR="00D81525" w:rsidRPr="00EB4C63" w:rsidRDefault="00D81525" w:rsidP="00D81525">
      <w:pPr>
        <w:autoSpaceDE w:val="0"/>
        <w:autoSpaceDN w:val="0"/>
        <w:adjustRightInd w:val="0"/>
        <w:ind w:firstLine="708"/>
        <w:jc w:val="both"/>
        <w:rPr>
          <w:sz w:val="28"/>
          <w:szCs w:val="28"/>
          <w:lang w:eastAsia="x-none"/>
        </w:rPr>
      </w:pPr>
      <w:r w:rsidRPr="000273A0">
        <w:rPr>
          <w:sz w:val="28"/>
          <w:szCs w:val="28"/>
          <w:lang w:eastAsia="x-none"/>
        </w:rPr>
        <w:lastRenderedPageBreak/>
        <w:t>Заинтересованные лица, заявители, участники Конкурса, получившие Конкурсную документацию</w:t>
      </w:r>
      <w:r w:rsidRPr="00EB4C63">
        <w:rPr>
          <w:sz w:val="28"/>
          <w:szCs w:val="28"/>
          <w:lang w:eastAsia="x-none"/>
        </w:rPr>
        <w:t xml:space="preserve"> любым из вышеперечисленных способов, самостоятельно несут ответственность за отслеживание всех вносимых изменений в Конкурсную документацию.</w:t>
      </w:r>
    </w:p>
    <w:p w:rsidR="00D81525"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 xml:space="preserve">Объектом Концессионного соглашения является </w:t>
      </w:r>
      <w:r w:rsidR="00185213" w:rsidRPr="00EB4C63">
        <w:rPr>
          <w:sz w:val="28"/>
          <w:szCs w:val="28"/>
          <w:lang w:eastAsia="x-none"/>
        </w:rPr>
        <w:t>объекты для наружного: уличного и внутриквартального (дворового) освещения территории города Пыть-Яха</w:t>
      </w:r>
      <w:r w:rsidRPr="00EB4C63">
        <w:rPr>
          <w:sz w:val="28"/>
          <w:szCs w:val="28"/>
          <w:lang w:eastAsia="x-none"/>
        </w:rPr>
        <w:t xml:space="preserve"> (далее – Объект Концессионного соглашения).</w:t>
      </w:r>
    </w:p>
    <w:p w:rsidR="00ED0BFF"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 xml:space="preserve">Срок действия Концессионного соглашения – </w:t>
      </w:r>
      <w:r w:rsidR="00881466" w:rsidRPr="00EB4C63">
        <w:rPr>
          <w:sz w:val="28"/>
          <w:szCs w:val="28"/>
          <w:lang w:eastAsia="x-none"/>
        </w:rPr>
        <w:t>1</w:t>
      </w:r>
      <w:r w:rsidRPr="00EB4C63">
        <w:rPr>
          <w:sz w:val="28"/>
          <w:szCs w:val="28"/>
          <w:lang w:eastAsia="x-none"/>
        </w:rPr>
        <w:t>6 (</w:t>
      </w:r>
      <w:r w:rsidR="00881466" w:rsidRPr="00EB4C63">
        <w:rPr>
          <w:sz w:val="28"/>
          <w:szCs w:val="28"/>
          <w:lang w:eastAsia="x-none"/>
        </w:rPr>
        <w:t>шестнадцать</w:t>
      </w:r>
      <w:r w:rsidRPr="00EB4C63">
        <w:rPr>
          <w:sz w:val="28"/>
          <w:szCs w:val="28"/>
          <w:lang w:eastAsia="x-none"/>
        </w:rPr>
        <w:t xml:space="preserve">) лет с момента </w:t>
      </w:r>
      <w:r w:rsidR="00ED0BFF" w:rsidRPr="00EB4C63">
        <w:rPr>
          <w:sz w:val="28"/>
          <w:szCs w:val="28"/>
          <w:lang w:eastAsia="x-none"/>
        </w:rPr>
        <w:t>подписания (</w:t>
      </w:r>
      <w:r w:rsidRPr="00EB4C63">
        <w:rPr>
          <w:sz w:val="28"/>
          <w:szCs w:val="28"/>
          <w:lang w:eastAsia="x-none"/>
        </w:rPr>
        <w:t>заключения</w:t>
      </w:r>
      <w:r w:rsidR="00ED0BFF" w:rsidRPr="00EB4C63">
        <w:rPr>
          <w:sz w:val="28"/>
          <w:szCs w:val="28"/>
          <w:lang w:eastAsia="x-none"/>
        </w:rPr>
        <w:t>) Концессионного соглашения.</w:t>
      </w:r>
    </w:p>
    <w:p w:rsidR="00D81525"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 xml:space="preserve">Конкурс проводится в 2 (два) этапа: </w:t>
      </w:r>
      <w:r w:rsidR="00E3702A" w:rsidRPr="00EB4C63">
        <w:rPr>
          <w:sz w:val="28"/>
          <w:szCs w:val="28"/>
          <w:lang w:eastAsia="x-none"/>
        </w:rPr>
        <w:t xml:space="preserve">конкурсный </w:t>
      </w:r>
      <w:r w:rsidR="005A0EFB" w:rsidRPr="00EB4C63">
        <w:rPr>
          <w:sz w:val="28"/>
          <w:szCs w:val="28"/>
          <w:lang w:eastAsia="x-none"/>
        </w:rPr>
        <w:t>п</w:t>
      </w:r>
      <w:r w:rsidRPr="00EB4C63">
        <w:rPr>
          <w:sz w:val="28"/>
          <w:szCs w:val="28"/>
          <w:lang w:eastAsia="x-none"/>
        </w:rPr>
        <w:t>редварительный отбор и Конкурс.</w:t>
      </w:r>
    </w:p>
    <w:p w:rsidR="00E3702A" w:rsidRPr="00EB4C63" w:rsidRDefault="00D81525" w:rsidP="00E3702A">
      <w:pPr>
        <w:autoSpaceDE w:val="0"/>
        <w:autoSpaceDN w:val="0"/>
        <w:adjustRightInd w:val="0"/>
        <w:ind w:firstLine="709"/>
        <w:jc w:val="both"/>
        <w:rPr>
          <w:sz w:val="28"/>
          <w:szCs w:val="28"/>
        </w:rPr>
      </w:pPr>
      <w:r w:rsidRPr="00EB4C63">
        <w:rPr>
          <w:sz w:val="28"/>
          <w:szCs w:val="28"/>
          <w:lang w:eastAsia="x-none"/>
        </w:rPr>
        <w:t xml:space="preserve">Заявителем Конкурса может выступать </w:t>
      </w:r>
      <w:r w:rsidR="00E3702A" w:rsidRPr="00EB4C63">
        <w:rPr>
          <w:sz w:val="28"/>
          <w:szCs w:val="28"/>
        </w:rPr>
        <w:t xml:space="preserve">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t>
      </w:r>
    </w:p>
    <w:p w:rsidR="00D81525"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Заявитель Конкурса должен соответствовать следующим требованиям:</w:t>
      </w:r>
    </w:p>
    <w:p w:rsidR="00ED0BFF" w:rsidRPr="00EB4C63" w:rsidRDefault="00ED0BFF" w:rsidP="00ED0BFF">
      <w:pPr>
        <w:widowControl w:val="0"/>
        <w:numPr>
          <w:ilvl w:val="0"/>
          <w:numId w:val="1"/>
        </w:numPr>
        <w:jc w:val="both"/>
        <w:rPr>
          <w:sz w:val="28"/>
          <w:szCs w:val="28"/>
        </w:rPr>
      </w:pPr>
      <w:r w:rsidRPr="00EB4C63">
        <w:rPr>
          <w:sz w:val="28"/>
          <w:szCs w:val="28"/>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ED0BFF" w:rsidRPr="00EB4C63" w:rsidRDefault="00ED0BFF" w:rsidP="00ED0BFF">
      <w:pPr>
        <w:widowControl w:val="0"/>
        <w:numPr>
          <w:ilvl w:val="0"/>
          <w:numId w:val="1"/>
        </w:numPr>
        <w:jc w:val="both"/>
        <w:rPr>
          <w:sz w:val="28"/>
          <w:szCs w:val="28"/>
        </w:rPr>
      </w:pPr>
      <w:r w:rsidRPr="00EB4C63">
        <w:rPr>
          <w:sz w:val="28"/>
          <w:szCs w:val="28"/>
        </w:rPr>
        <w:t>отсутствие решения о признании заявителя банкротом и об открытии конкурсного производства в отношении него;</w:t>
      </w:r>
    </w:p>
    <w:p w:rsidR="00ED0BFF" w:rsidRPr="00EB4C63" w:rsidRDefault="00ED0BFF" w:rsidP="00ED0BFF">
      <w:pPr>
        <w:numPr>
          <w:ilvl w:val="0"/>
          <w:numId w:val="1"/>
        </w:numPr>
        <w:autoSpaceDE w:val="0"/>
        <w:autoSpaceDN w:val="0"/>
        <w:adjustRightInd w:val="0"/>
        <w:jc w:val="both"/>
        <w:rPr>
          <w:sz w:val="28"/>
          <w:szCs w:val="28"/>
        </w:rPr>
      </w:pPr>
      <w:r w:rsidRPr="00EB4C63">
        <w:rPr>
          <w:sz w:val="28"/>
          <w:szCs w:val="28"/>
        </w:rPr>
        <w:t xml:space="preserve">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 </w:t>
      </w:r>
    </w:p>
    <w:p w:rsidR="00ED0BFF" w:rsidRPr="00EB4C63" w:rsidRDefault="00ED0BFF" w:rsidP="00ED0BFF">
      <w:pPr>
        <w:numPr>
          <w:ilvl w:val="0"/>
          <w:numId w:val="1"/>
        </w:numPr>
        <w:autoSpaceDE w:val="0"/>
        <w:autoSpaceDN w:val="0"/>
        <w:adjustRightInd w:val="0"/>
        <w:jc w:val="both"/>
        <w:rPr>
          <w:sz w:val="28"/>
          <w:szCs w:val="28"/>
        </w:rPr>
      </w:pPr>
      <w:r w:rsidRPr="00EB4C63">
        <w:rPr>
          <w:sz w:val="28"/>
          <w:szCs w:val="28"/>
        </w:rPr>
        <w:t>наличие у заявителя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D81525" w:rsidRPr="00EB4C63" w:rsidRDefault="00D81525" w:rsidP="00E3702A">
      <w:pPr>
        <w:autoSpaceDE w:val="0"/>
        <w:autoSpaceDN w:val="0"/>
        <w:adjustRightInd w:val="0"/>
        <w:ind w:firstLine="708"/>
        <w:jc w:val="both"/>
        <w:rPr>
          <w:sz w:val="28"/>
          <w:szCs w:val="28"/>
          <w:lang w:eastAsia="x-none"/>
        </w:rPr>
      </w:pPr>
      <w:r w:rsidRPr="00EB4C63">
        <w:rPr>
          <w:sz w:val="28"/>
          <w:szCs w:val="28"/>
          <w:lang w:eastAsia="x-none"/>
        </w:rPr>
        <w:t xml:space="preserve">На основании заявок на участие в Конкурсе, предоставленных </w:t>
      </w:r>
      <w:r w:rsidR="00E3702A" w:rsidRPr="00EB4C63">
        <w:rPr>
          <w:sz w:val="28"/>
          <w:szCs w:val="28"/>
          <w:lang w:eastAsia="x-none"/>
        </w:rPr>
        <w:t xml:space="preserve"> З</w:t>
      </w:r>
      <w:r w:rsidRPr="00EB4C63">
        <w:rPr>
          <w:sz w:val="28"/>
          <w:szCs w:val="28"/>
          <w:lang w:eastAsia="x-none"/>
        </w:rPr>
        <w:t xml:space="preserve">аявителями, будет проведен </w:t>
      </w:r>
      <w:r w:rsidR="00E3702A" w:rsidRPr="00EB4C63">
        <w:rPr>
          <w:sz w:val="28"/>
          <w:szCs w:val="28"/>
          <w:lang w:eastAsia="x-none"/>
        </w:rPr>
        <w:t xml:space="preserve">конкурсный </w:t>
      </w:r>
      <w:r w:rsidRPr="00EB4C63">
        <w:rPr>
          <w:sz w:val="28"/>
          <w:szCs w:val="28"/>
          <w:lang w:eastAsia="x-none"/>
        </w:rPr>
        <w:t xml:space="preserve">предварительный отбор и определены участники Конкурса, допущенные к подаче конкурсных предложений. Оценка заявок на участие в Конкурсе проводится на основе проверки соответствия предоставленных заявок требованиям к заявке и </w:t>
      </w:r>
      <w:r w:rsidRPr="00EB4C63">
        <w:rPr>
          <w:sz w:val="28"/>
          <w:szCs w:val="28"/>
          <w:lang w:eastAsia="x-none"/>
        </w:rPr>
        <w:lastRenderedPageBreak/>
        <w:t>соответствия заявителей требованиям, изложенным в Конкурсной документации.</w:t>
      </w:r>
    </w:p>
    <w:p w:rsidR="00D81525"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Заявители, не удовлетворяющие требованиям Конкурса либо предоставившие заявки на участие в Конкурсе, не удовлетворяющие требованиям к заявкам на участие в Конкурсе, или содержащие неполную и (или) недостоверную информацию в отношении фактов, изложенных в предоставляемых заявителем документах и материалах, не будут допущены к дальнейшему участию в Конкурсе.</w:t>
      </w:r>
    </w:p>
    <w:p w:rsidR="00D81525"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Концедент вправе отказаться от проведения Конкурса не позднее, чем за 30 (тридцать) календарных дней до его проведения.</w:t>
      </w:r>
    </w:p>
    <w:p w:rsidR="00D81525"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Конкурсной документацией устанавливаются следующие критерии и параметры критериев Конкурса, на основе которых осуществляется оценка конкурсных предложений участников Конкурса:</w:t>
      </w:r>
    </w:p>
    <w:p w:rsidR="00D81525" w:rsidRPr="00EB4C63" w:rsidRDefault="00D81525" w:rsidP="00D81525">
      <w:pPr>
        <w:autoSpaceDE w:val="0"/>
        <w:autoSpaceDN w:val="0"/>
        <w:adjustRightInd w:val="0"/>
        <w:ind w:firstLine="708"/>
        <w:jc w:val="both"/>
        <w:rPr>
          <w:sz w:val="28"/>
          <w:szCs w:val="28"/>
          <w:lang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
        <w:gridCol w:w="2726"/>
        <w:gridCol w:w="2233"/>
        <w:gridCol w:w="1918"/>
        <w:gridCol w:w="1942"/>
      </w:tblGrid>
      <w:tr w:rsidR="00EB4C63" w:rsidRPr="00EB4C63" w:rsidTr="00106EE4">
        <w:tc>
          <w:tcPr>
            <w:tcW w:w="752" w:type="dxa"/>
            <w:vMerge w:val="restart"/>
            <w:shd w:val="clear" w:color="auto" w:fill="auto"/>
          </w:tcPr>
          <w:p w:rsidR="00D81525" w:rsidRPr="00EB4C63" w:rsidRDefault="00D81525" w:rsidP="00C26A6D">
            <w:pPr>
              <w:autoSpaceDE w:val="0"/>
              <w:autoSpaceDN w:val="0"/>
              <w:adjustRightInd w:val="0"/>
              <w:jc w:val="center"/>
              <w:rPr>
                <w:sz w:val="28"/>
                <w:szCs w:val="28"/>
                <w:lang w:eastAsia="x-none"/>
              </w:rPr>
            </w:pPr>
            <w:r w:rsidRPr="00EB4C63">
              <w:rPr>
                <w:sz w:val="28"/>
                <w:szCs w:val="28"/>
                <w:lang w:eastAsia="x-none"/>
              </w:rPr>
              <w:t>№</w:t>
            </w:r>
          </w:p>
        </w:tc>
        <w:tc>
          <w:tcPr>
            <w:tcW w:w="2726" w:type="dxa"/>
            <w:vMerge w:val="restart"/>
            <w:shd w:val="clear" w:color="auto" w:fill="auto"/>
          </w:tcPr>
          <w:p w:rsidR="00D81525" w:rsidRPr="00EB4C63" w:rsidRDefault="00D81525" w:rsidP="00C26A6D">
            <w:pPr>
              <w:autoSpaceDE w:val="0"/>
              <w:autoSpaceDN w:val="0"/>
              <w:adjustRightInd w:val="0"/>
              <w:jc w:val="center"/>
              <w:rPr>
                <w:sz w:val="28"/>
                <w:szCs w:val="28"/>
                <w:lang w:eastAsia="x-none"/>
              </w:rPr>
            </w:pPr>
            <w:r w:rsidRPr="00EB4C63">
              <w:rPr>
                <w:sz w:val="28"/>
                <w:szCs w:val="28"/>
                <w:lang w:eastAsia="x-none"/>
              </w:rPr>
              <w:t>Критерии конкурса</w:t>
            </w:r>
          </w:p>
        </w:tc>
        <w:tc>
          <w:tcPr>
            <w:tcW w:w="6093" w:type="dxa"/>
            <w:gridSpan w:val="3"/>
            <w:shd w:val="clear" w:color="auto" w:fill="auto"/>
          </w:tcPr>
          <w:p w:rsidR="00D81525" w:rsidRPr="00EB4C63" w:rsidRDefault="00D81525" w:rsidP="00C26A6D">
            <w:pPr>
              <w:autoSpaceDE w:val="0"/>
              <w:autoSpaceDN w:val="0"/>
              <w:adjustRightInd w:val="0"/>
              <w:jc w:val="center"/>
              <w:rPr>
                <w:sz w:val="28"/>
                <w:szCs w:val="28"/>
                <w:lang w:eastAsia="x-none"/>
              </w:rPr>
            </w:pPr>
            <w:r w:rsidRPr="00EB4C63">
              <w:rPr>
                <w:sz w:val="28"/>
                <w:szCs w:val="28"/>
                <w:lang w:eastAsia="x-none"/>
              </w:rPr>
              <w:t>Параметры критериев конкурса</w:t>
            </w:r>
          </w:p>
        </w:tc>
      </w:tr>
      <w:tr w:rsidR="00EB4C63" w:rsidRPr="00EB4C63" w:rsidTr="00106EE4">
        <w:tc>
          <w:tcPr>
            <w:tcW w:w="752" w:type="dxa"/>
            <w:vMerge/>
            <w:shd w:val="clear" w:color="auto" w:fill="auto"/>
          </w:tcPr>
          <w:p w:rsidR="00D81525" w:rsidRPr="00EB4C63" w:rsidRDefault="00D81525" w:rsidP="00C26A6D">
            <w:pPr>
              <w:autoSpaceDE w:val="0"/>
              <w:autoSpaceDN w:val="0"/>
              <w:adjustRightInd w:val="0"/>
              <w:jc w:val="center"/>
              <w:rPr>
                <w:sz w:val="28"/>
                <w:szCs w:val="28"/>
                <w:lang w:eastAsia="x-none"/>
              </w:rPr>
            </w:pPr>
          </w:p>
        </w:tc>
        <w:tc>
          <w:tcPr>
            <w:tcW w:w="2726" w:type="dxa"/>
            <w:vMerge/>
            <w:shd w:val="clear" w:color="auto" w:fill="auto"/>
          </w:tcPr>
          <w:p w:rsidR="00D81525" w:rsidRPr="00EB4C63" w:rsidRDefault="00D81525" w:rsidP="00C26A6D">
            <w:pPr>
              <w:autoSpaceDE w:val="0"/>
              <w:autoSpaceDN w:val="0"/>
              <w:adjustRightInd w:val="0"/>
              <w:jc w:val="center"/>
              <w:rPr>
                <w:sz w:val="28"/>
                <w:szCs w:val="28"/>
                <w:lang w:eastAsia="x-none"/>
              </w:rPr>
            </w:pPr>
          </w:p>
        </w:tc>
        <w:tc>
          <w:tcPr>
            <w:tcW w:w="2233" w:type="dxa"/>
            <w:shd w:val="clear" w:color="auto" w:fill="auto"/>
          </w:tcPr>
          <w:p w:rsidR="00D81525" w:rsidRPr="00EB4C63" w:rsidRDefault="00D81525" w:rsidP="00C26A6D">
            <w:pPr>
              <w:autoSpaceDE w:val="0"/>
              <w:autoSpaceDN w:val="0"/>
              <w:adjustRightInd w:val="0"/>
              <w:jc w:val="center"/>
              <w:rPr>
                <w:sz w:val="28"/>
                <w:szCs w:val="28"/>
                <w:lang w:eastAsia="x-none"/>
              </w:rPr>
            </w:pPr>
            <w:r w:rsidRPr="00EB4C63">
              <w:rPr>
                <w:sz w:val="28"/>
                <w:szCs w:val="28"/>
                <w:lang w:eastAsia="x-none"/>
              </w:rPr>
              <w:t>начальное значение критерия</w:t>
            </w:r>
          </w:p>
        </w:tc>
        <w:tc>
          <w:tcPr>
            <w:tcW w:w="1918" w:type="dxa"/>
            <w:shd w:val="clear" w:color="auto" w:fill="auto"/>
          </w:tcPr>
          <w:p w:rsidR="00D81525" w:rsidRPr="00EB4C63" w:rsidRDefault="00D81525" w:rsidP="00C26A6D">
            <w:pPr>
              <w:autoSpaceDE w:val="0"/>
              <w:autoSpaceDN w:val="0"/>
              <w:adjustRightInd w:val="0"/>
              <w:jc w:val="center"/>
              <w:rPr>
                <w:sz w:val="28"/>
                <w:szCs w:val="28"/>
                <w:lang w:eastAsia="x-none"/>
              </w:rPr>
            </w:pPr>
            <w:r w:rsidRPr="00EB4C63">
              <w:rPr>
                <w:sz w:val="28"/>
                <w:szCs w:val="28"/>
                <w:lang w:eastAsia="x-none"/>
              </w:rPr>
              <w:t>требование к изменению начального значения</w:t>
            </w:r>
          </w:p>
        </w:tc>
        <w:tc>
          <w:tcPr>
            <w:tcW w:w="1942" w:type="dxa"/>
            <w:shd w:val="clear" w:color="auto" w:fill="auto"/>
          </w:tcPr>
          <w:p w:rsidR="00D81525" w:rsidRPr="00EB4C63" w:rsidRDefault="00D81525" w:rsidP="00C26A6D">
            <w:pPr>
              <w:autoSpaceDE w:val="0"/>
              <w:autoSpaceDN w:val="0"/>
              <w:adjustRightInd w:val="0"/>
              <w:jc w:val="center"/>
              <w:rPr>
                <w:sz w:val="28"/>
                <w:szCs w:val="28"/>
                <w:lang w:eastAsia="x-none"/>
              </w:rPr>
            </w:pPr>
            <w:r w:rsidRPr="00EB4C63">
              <w:rPr>
                <w:sz w:val="28"/>
                <w:szCs w:val="28"/>
                <w:lang w:eastAsia="x-none"/>
              </w:rPr>
              <w:t>коэффициент значимости критерия</w:t>
            </w:r>
          </w:p>
        </w:tc>
      </w:tr>
      <w:tr w:rsidR="00EB4C63" w:rsidRPr="00EB4C63" w:rsidTr="00106EE4">
        <w:tc>
          <w:tcPr>
            <w:tcW w:w="752" w:type="dxa"/>
            <w:shd w:val="clear" w:color="auto" w:fill="auto"/>
          </w:tcPr>
          <w:p w:rsidR="005A0EFB" w:rsidRPr="00EB4C63" w:rsidRDefault="005A0EFB" w:rsidP="005A0EFB">
            <w:pPr>
              <w:autoSpaceDE w:val="0"/>
              <w:autoSpaceDN w:val="0"/>
              <w:adjustRightInd w:val="0"/>
              <w:jc w:val="center"/>
              <w:rPr>
                <w:sz w:val="28"/>
                <w:szCs w:val="28"/>
                <w:lang w:eastAsia="x-none"/>
              </w:rPr>
            </w:pPr>
            <w:r w:rsidRPr="00EB4C63">
              <w:rPr>
                <w:sz w:val="28"/>
                <w:szCs w:val="28"/>
                <w:lang w:eastAsia="x-none"/>
              </w:rPr>
              <w:t>1</w:t>
            </w:r>
          </w:p>
        </w:tc>
        <w:tc>
          <w:tcPr>
            <w:tcW w:w="2726" w:type="dxa"/>
            <w:shd w:val="clear" w:color="auto" w:fill="auto"/>
          </w:tcPr>
          <w:p w:rsidR="005A0EFB" w:rsidRPr="00EB4C63" w:rsidRDefault="005A0EFB" w:rsidP="005A0EFB">
            <w:pPr>
              <w:autoSpaceDE w:val="0"/>
              <w:autoSpaceDN w:val="0"/>
              <w:adjustRightInd w:val="0"/>
              <w:jc w:val="both"/>
              <w:rPr>
                <w:sz w:val="28"/>
                <w:szCs w:val="28"/>
                <w:lang w:eastAsia="x-none"/>
              </w:rPr>
            </w:pPr>
            <w:r w:rsidRPr="00EB4C63">
              <w:rPr>
                <w:sz w:val="28"/>
                <w:szCs w:val="28"/>
                <w:lang w:eastAsia="x-none"/>
              </w:rPr>
              <w:t>Срок создания объектов, месяцев</w:t>
            </w:r>
          </w:p>
        </w:tc>
        <w:tc>
          <w:tcPr>
            <w:tcW w:w="2233" w:type="dxa"/>
            <w:shd w:val="clear" w:color="auto" w:fill="auto"/>
          </w:tcPr>
          <w:p w:rsidR="005A0EFB" w:rsidRPr="00EB4C63" w:rsidRDefault="005A0EFB" w:rsidP="005A0EFB">
            <w:pPr>
              <w:autoSpaceDE w:val="0"/>
              <w:autoSpaceDN w:val="0"/>
              <w:adjustRightInd w:val="0"/>
              <w:jc w:val="both"/>
              <w:rPr>
                <w:sz w:val="28"/>
                <w:szCs w:val="28"/>
                <w:lang w:eastAsia="x-none"/>
              </w:rPr>
            </w:pPr>
            <w:r w:rsidRPr="00EB4C63">
              <w:rPr>
                <w:sz w:val="28"/>
                <w:szCs w:val="28"/>
                <w:lang w:eastAsia="x-none"/>
              </w:rPr>
              <w:t xml:space="preserve">36 (тридцать шесть) месяцев </w:t>
            </w:r>
          </w:p>
          <w:p w:rsidR="005A0EFB" w:rsidRPr="00EB4C63" w:rsidRDefault="005A0EFB" w:rsidP="005A0EFB">
            <w:pPr>
              <w:autoSpaceDE w:val="0"/>
              <w:autoSpaceDN w:val="0"/>
              <w:adjustRightInd w:val="0"/>
              <w:jc w:val="both"/>
              <w:rPr>
                <w:sz w:val="28"/>
                <w:szCs w:val="28"/>
                <w:lang w:eastAsia="x-none"/>
              </w:rPr>
            </w:pPr>
          </w:p>
        </w:tc>
        <w:tc>
          <w:tcPr>
            <w:tcW w:w="1918" w:type="dxa"/>
            <w:shd w:val="clear" w:color="auto" w:fill="auto"/>
          </w:tcPr>
          <w:p w:rsidR="005A0EFB" w:rsidRPr="00EB4C63" w:rsidRDefault="005A0EFB" w:rsidP="005A0EFB">
            <w:pPr>
              <w:autoSpaceDE w:val="0"/>
              <w:autoSpaceDN w:val="0"/>
              <w:adjustRightInd w:val="0"/>
              <w:jc w:val="center"/>
              <w:rPr>
                <w:sz w:val="28"/>
                <w:szCs w:val="28"/>
                <w:lang w:eastAsia="x-none"/>
              </w:rPr>
            </w:pPr>
            <w:r w:rsidRPr="00EB4C63">
              <w:rPr>
                <w:sz w:val="28"/>
                <w:szCs w:val="28"/>
                <w:lang w:eastAsia="x-none"/>
              </w:rPr>
              <w:t>Уменьшение</w:t>
            </w:r>
          </w:p>
        </w:tc>
        <w:tc>
          <w:tcPr>
            <w:tcW w:w="1942" w:type="dxa"/>
            <w:shd w:val="clear" w:color="auto" w:fill="auto"/>
          </w:tcPr>
          <w:p w:rsidR="005A0EFB" w:rsidRPr="00EB4C63" w:rsidRDefault="005A0EFB" w:rsidP="005A0EFB">
            <w:pPr>
              <w:autoSpaceDE w:val="0"/>
              <w:autoSpaceDN w:val="0"/>
              <w:adjustRightInd w:val="0"/>
              <w:jc w:val="center"/>
              <w:rPr>
                <w:sz w:val="28"/>
                <w:szCs w:val="28"/>
                <w:lang w:eastAsia="x-none"/>
              </w:rPr>
            </w:pPr>
            <w:r w:rsidRPr="00EB4C63">
              <w:rPr>
                <w:sz w:val="28"/>
                <w:szCs w:val="28"/>
                <w:lang w:eastAsia="x-none"/>
              </w:rPr>
              <w:t>0,20</w:t>
            </w:r>
          </w:p>
        </w:tc>
      </w:tr>
      <w:tr w:rsidR="00EB4C63" w:rsidRPr="00EB4C63" w:rsidTr="00106EE4">
        <w:tc>
          <w:tcPr>
            <w:tcW w:w="752" w:type="dxa"/>
            <w:shd w:val="clear" w:color="auto" w:fill="auto"/>
          </w:tcPr>
          <w:p w:rsidR="005A0EFB" w:rsidRPr="00EB4C63" w:rsidRDefault="005A0EFB" w:rsidP="005A0EFB">
            <w:pPr>
              <w:autoSpaceDE w:val="0"/>
              <w:autoSpaceDN w:val="0"/>
              <w:adjustRightInd w:val="0"/>
              <w:jc w:val="both"/>
              <w:rPr>
                <w:sz w:val="28"/>
                <w:szCs w:val="28"/>
                <w:lang w:eastAsia="x-none"/>
              </w:rPr>
            </w:pPr>
            <w:r w:rsidRPr="00EB4C63">
              <w:rPr>
                <w:sz w:val="28"/>
                <w:szCs w:val="28"/>
                <w:lang w:eastAsia="x-none"/>
              </w:rPr>
              <w:t>2</w:t>
            </w:r>
          </w:p>
        </w:tc>
        <w:tc>
          <w:tcPr>
            <w:tcW w:w="2726" w:type="dxa"/>
            <w:shd w:val="clear" w:color="auto" w:fill="auto"/>
          </w:tcPr>
          <w:p w:rsidR="005A0EFB" w:rsidRPr="00EB4C63" w:rsidRDefault="005A0EFB" w:rsidP="005A0EFB">
            <w:pPr>
              <w:autoSpaceDE w:val="0"/>
              <w:autoSpaceDN w:val="0"/>
              <w:adjustRightInd w:val="0"/>
              <w:jc w:val="both"/>
              <w:rPr>
                <w:sz w:val="28"/>
                <w:szCs w:val="28"/>
                <w:lang w:eastAsia="x-none"/>
              </w:rPr>
            </w:pPr>
            <w:r w:rsidRPr="00EB4C63">
              <w:rPr>
                <w:rFonts w:eastAsia="Calibri"/>
                <w:sz w:val="28"/>
                <w:szCs w:val="28"/>
              </w:rPr>
              <w:t>Плата концедента за реконструкцию Объекта концессионного соглашения, рублей</w:t>
            </w:r>
          </w:p>
        </w:tc>
        <w:tc>
          <w:tcPr>
            <w:tcW w:w="2233" w:type="dxa"/>
            <w:shd w:val="clear" w:color="auto" w:fill="auto"/>
          </w:tcPr>
          <w:p w:rsidR="005A0EFB" w:rsidRPr="00EB4C63" w:rsidRDefault="005A0EFB" w:rsidP="005A0EFB">
            <w:pPr>
              <w:autoSpaceDE w:val="0"/>
              <w:autoSpaceDN w:val="0"/>
              <w:adjustRightInd w:val="0"/>
              <w:rPr>
                <w:sz w:val="28"/>
                <w:szCs w:val="28"/>
                <w:lang w:eastAsia="x-none"/>
              </w:rPr>
            </w:pPr>
            <w:r w:rsidRPr="00EB4C63">
              <w:rPr>
                <w:rFonts w:eastAsia="Arial"/>
                <w:sz w:val="28"/>
                <w:szCs w:val="28"/>
                <w:lang w:eastAsia="ar-SA"/>
              </w:rPr>
              <w:t>39 000 000,00 (тридцать девять миллионов) рублей 00 копеек</w:t>
            </w:r>
          </w:p>
        </w:tc>
        <w:tc>
          <w:tcPr>
            <w:tcW w:w="1918" w:type="dxa"/>
            <w:shd w:val="clear" w:color="auto" w:fill="auto"/>
          </w:tcPr>
          <w:p w:rsidR="005A0EFB" w:rsidRPr="00EB4C63" w:rsidRDefault="005A0EFB" w:rsidP="005A0EFB">
            <w:pPr>
              <w:autoSpaceDE w:val="0"/>
              <w:autoSpaceDN w:val="0"/>
              <w:adjustRightInd w:val="0"/>
              <w:jc w:val="center"/>
              <w:rPr>
                <w:sz w:val="28"/>
                <w:szCs w:val="28"/>
                <w:lang w:eastAsia="x-none"/>
              </w:rPr>
            </w:pPr>
            <w:r w:rsidRPr="00EB4C63">
              <w:rPr>
                <w:sz w:val="28"/>
                <w:szCs w:val="28"/>
                <w:lang w:eastAsia="x-none"/>
              </w:rPr>
              <w:t xml:space="preserve">Уменьшение </w:t>
            </w:r>
          </w:p>
        </w:tc>
        <w:tc>
          <w:tcPr>
            <w:tcW w:w="1942" w:type="dxa"/>
            <w:shd w:val="clear" w:color="auto" w:fill="auto"/>
          </w:tcPr>
          <w:p w:rsidR="005A0EFB" w:rsidRPr="00EB4C63" w:rsidRDefault="005A0EFB" w:rsidP="005A0EFB">
            <w:pPr>
              <w:autoSpaceDE w:val="0"/>
              <w:autoSpaceDN w:val="0"/>
              <w:adjustRightInd w:val="0"/>
              <w:jc w:val="center"/>
              <w:rPr>
                <w:sz w:val="28"/>
                <w:szCs w:val="28"/>
                <w:lang w:eastAsia="x-none"/>
              </w:rPr>
            </w:pPr>
            <w:r w:rsidRPr="00EB4C63">
              <w:rPr>
                <w:sz w:val="28"/>
                <w:szCs w:val="28"/>
                <w:lang w:eastAsia="x-none"/>
              </w:rPr>
              <w:t>0,20</w:t>
            </w:r>
          </w:p>
        </w:tc>
      </w:tr>
      <w:tr w:rsidR="00EB4C63" w:rsidRPr="00EB4C63" w:rsidTr="00106EE4">
        <w:tc>
          <w:tcPr>
            <w:tcW w:w="752" w:type="dxa"/>
            <w:shd w:val="clear" w:color="auto" w:fill="auto"/>
          </w:tcPr>
          <w:p w:rsidR="005A0EFB" w:rsidRPr="00EB4C63" w:rsidRDefault="005A0EFB" w:rsidP="005A0EFB">
            <w:pPr>
              <w:autoSpaceDE w:val="0"/>
              <w:autoSpaceDN w:val="0"/>
              <w:adjustRightInd w:val="0"/>
              <w:jc w:val="both"/>
              <w:rPr>
                <w:sz w:val="28"/>
                <w:szCs w:val="28"/>
                <w:lang w:eastAsia="x-none"/>
              </w:rPr>
            </w:pPr>
            <w:r w:rsidRPr="00EB4C63">
              <w:rPr>
                <w:sz w:val="28"/>
                <w:szCs w:val="28"/>
                <w:lang w:eastAsia="x-none"/>
              </w:rPr>
              <w:t>3</w:t>
            </w:r>
          </w:p>
        </w:tc>
        <w:tc>
          <w:tcPr>
            <w:tcW w:w="2726" w:type="dxa"/>
            <w:shd w:val="clear" w:color="auto" w:fill="auto"/>
          </w:tcPr>
          <w:p w:rsidR="005A0EFB" w:rsidRPr="00EB4C63" w:rsidRDefault="005A0EFB" w:rsidP="005A0EFB">
            <w:pPr>
              <w:autoSpaceDE w:val="0"/>
              <w:autoSpaceDN w:val="0"/>
              <w:adjustRightInd w:val="0"/>
              <w:jc w:val="both"/>
              <w:rPr>
                <w:sz w:val="28"/>
                <w:szCs w:val="28"/>
                <w:lang w:eastAsia="x-none"/>
              </w:rPr>
            </w:pPr>
            <w:r w:rsidRPr="00EB4C63">
              <w:rPr>
                <w:rFonts w:eastAsia="Calibri"/>
                <w:sz w:val="28"/>
                <w:szCs w:val="28"/>
              </w:rPr>
              <w:t xml:space="preserve">Плата концедента </w:t>
            </w:r>
            <w:r w:rsidRPr="00EB4C63">
              <w:rPr>
                <w:sz w:val="28"/>
                <w:szCs w:val="28"/>
              </w:rPr>
              <w:t>за использование (эксплуатацию) Объекта концессионного соглашения, рублей</w:t>
            </w:r>
          </w:p>
        </w:tc>
        <w:tc>
          <w:tcPr>
            <w:tcW w:w="2233" w:type="dxa"/>
            <w:shd w:val="clear" w:color="auto" w:fill="auto"/>
          </w:tcPr>
          <w:p w:rsidR="005A0EFB" w:rsidRPr="00A45589" w:rsidRDefault="00A45589" w:rsidP="005A0EFB">
            <w:pPr>
              <w:autoSpaceDE w:val="0"/>
              <w:autoSpaceDN w:val="0"/>
              <w:adjustRightInd w:val="0"/>
              <w:rPr>
                <w:sz w:val="28"/>
                <w:szCs w:val="28"/>
                <w:lang w:eastAsia="x-none"/>
              </w:rPr>
            </w:pPr>
            <w:r w:rsidRPr="00A45589">
              <w:rPr>
                <w:sz w:val="28"/>
                <w:szCs w:val="28"/>
                <w:lang w:eastAsia="x-none"/>
              </w:rPr>
              <w:t>291 661 200,00 (двести девяносто один миллион шестьсот шестьдесят одна тысяча двести) рублей 00 копеек</w:t>
            </w:r>
          </w:p>
        </w:tc>
        <w:tc>
          <w:tcPr>
            <w:tcW w:w="1918" w:type="dxa"/>
            <w:shd w:val="clear" w:color="auto" w:fill="auto"/>
          </w:tcPr>
          <w:p w:rsidR="005A0EFB" w:rsidRPr="00EB4C63" w:rsidRDefault="005A0EFB" w:rsidP="005A0EFB">
            <w:pPr>
              <w:autoSpaceDE w:val="0"/>
              <w:autoSpaceDN w:val="0"/>
              <w:adjustRightInd w:val="0"/>
              <w:jc w:val="center"/>
              <w:rPr>
                <w:sz w:val="28"/>
                <w:szCs w:val="28"/>
                <w:lang w:eastAsia="x-none"/>
              </w:rPr>
            </w:pPr>
            <w:r w:rsidRPr="00EB4C63">
              <w:rPr>
                <w:sz w:val="28"/>
                <w:szCs w:val="28"/>
                <w:lang w:eastAsia="x-none"/>
              </w:rPr>
              <w:t xml:space="preserve">Уменьшение </w:t>
            </w:r>
          </w:p>
        </w:tc>
        <w:tc>
          <w:tcPr>
            <w:tcW w:w="1942" w:type="dxa"/>
            <w:shd w:val="clear" w:color="auto" w:fill="auto"/>
          </w:tcPr>
          <w:p w:rsidR="005A0EFB" w:rsidRPr="00EB4C63" w:rsidRDefault="005A0EFB" w:rsidP="005A0EFB">
            <w:pPr>
              <w:autoSpaceDE w:val="0"/>
              <w:autoSpaceDN w:val="0"/>
              <w:adjustRightInd w:val="0"/>
              <w:jc w:val="center"/>
              <w:rPr>
                <w:sz w:val="28"/>
                <w:szCs w:val="28"/>
                <w:lang w:eastAsia="x-none"/>
              </w:rPr>
            </w:pPr>
            <w:r w:rsidRPr="00EB4C63">
              <w:rPr>
                <w:sz w:val="28"/>
                <w:szCs w:val="28"/>
                <w:lang w:eastAsia="x-none"/>
              </w:rPr>
              <w:t>0,60</w:t>
            </w:r>
          </w:p>
        </w:tc>
      </w:tr>
    </w:tbl>
    <w:p w:rsidR="00106EE4" w:rsidRPr="00EB4C63" w:rsidRDefault="00106EE4" w:rsidP="00D81525">
      <w:pPr>
        <w:autoSpaceDE w:val="0"/>
        <w:autoSpaceDN w:val="0"/>
        <w:adjustRightInd w:val="0"/>
        <w:ind w:firstLine="708"/>
        <w:jc w:val="both"/>
        <w:rPr>
          <w:sz w:val="28"/>
          <w:szCs w:val="28"/>
          <w:highlight w:val="yellow"/>
          <w:lang w:eastAsia="x-none"/>
        </w:rPr>
      </w:pPr>
    </w:p>
    <w:p w:rsidR="005A0EFB"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 xml:space="preserve">Заявки на участие в Конкурсе представляются в Конкурсную комиссию по месту нахождения в запечатанных конвертах (коробках) с пометкой «ЗАЯВКА НА УЧАСТИЕ В ОТКРЫТОМ КОНКУРСЕ НА ПРАВО ЗАКЛЮЧЕНИЯ КОНЦЕССИОННОГО СОГЛАШЕНИЯ </w:t>
      </w:r>
      <w:r w:rsidR="00185213" w:rsidRPr="00EB4C63">
        <w:rPr>
          <w:sz w:val="28"/>
          <w:szCs w:val="28"/>
          <w:lang w:eastAsia="x-none"/>
        </w:rPr>
        <w:t>В ОТНОШЕНИИ ОБЪЕКТОВ, ПРЕДНАЗНАЧЕННЫХ ДЛЯ НАРУЖНОГО: УЛИЧНОГО И ВНУТРИКВАРТАЛЬНОГО (ДВОРОВОГО) ОСВЕЩЕНИЯ ТЕРРИТОРИИ ГОРОДА ПЫТЬ-ЯХА</w:t>
      </w:r>
      <w:r w:rsidRPr="00EB4C63">
        <w:rPr>
          <w:sz w:val="28"/>
          <w:szCs w:val="28"/>
          <w:lang w:eastAsia="x-none"/>
        </w:rPr>
        <w:t xml:space="preserve">» (на конверте также указываются: наименование и адрес </w:t>
      </w:r>
      <w:r w:rsidRPr="00EB4C63">
        <w:rPr>
          <w:sz w:val="28"/>
          <w:szCs w:val="28"/>
          <w:lang w:eastAsia="x-none"/>
        </w:rPr>
        <w:lastRenderedPageBreak/>
        <w:t>заявителя и адрес для подачи заявок на участие в Конкурсе) с 09.00 час</w:t>
      </w:r>
      <w:r w:rsidR="00A45589">
        <w:rPr>
          <w:sz w:val="28"/>
          <w:szCs w:val="28"/>
          <w:lang w:eastAsia="x-none"/>
        </w:rPr>
        <w:t>ов</w:t>
      </w:r>
      <w:r w:rsidRPr="00EB4C63">
        <w:rPr>
          <w:sz w:val="28"/>
          <w:szCs w:val="28"/>
          <w:lang w:eastAsia="x-none"/>
        </w:rPr>
        <w:t xml:space="preserve"> </w:t>
      </w:r>
      <w:r w:rsidR="00A45589">
        <w:rPr>
          <w:sz w:val="28"/>
          <w:szCs w:val="28"/>
          <w:lang w:eastAsia="x-none"/>
        </w:rPr>
        <w:t xml:space="preserve">5 мая 2022 года </w:t>
      </w:r>
      <w:r w:rsidRPr="00EB4C63">
        <w:rPr>
          <w:sz w:val="28"/>
          <w:szCs w:val="28"/>
          <w:lang w:eastAsia="x-none"/>
        </w:rPr>
        <w:t>до 1</w:t>
      </w:r>
      <w:r w:rsidR="004809E4">
        <w:rPr>
          <w:sz w:val="28"/>
          <w:szCs w:val="28"/>
          <w:lang w:eastAsia="x-none"/>
        </w:rPr>
        <w:t>8</w:t>
      </w:r>
      <w:r w:rsidRPr="00EB4C63">
        <w:rPr>
          <w:sz w:val="28"/>
          <w:szCs w:val="28"/>
          <w:lang w:eastAsia="x-none"/>
        </w:rPr>
        <w:t>.00 час</w:t>
      </w:r>
      <w:r w:rsidR="004809E4">
        <w:rPr>
          <w:sz w:val="28"/>
          <w:szCs w:val="28"/>
          <w:lang w:eastAsia="x-none"/>
        </w:rPr>
        <w:t>ов 20</w:t>
      </w:r>
      <w:r w:rsidR="00A45589">
        <w:rPr>
          <w:sz w:val="28"/>
          <w:szCs w:val="28"/>
          <w:lang w:eastAsia="x-none"/>
        </w:rPr>
        <w:t xml:space="preserve"> июня </w:t>
      </w:r>
      <w:r w:rsidRPr="00EB4C63">
        <w:rPr>
          <w:sz w:val="28"/>
          <w:szCs w:val="28"/>
          <w:lang w:eastAsia="x-none"/>
        </w:rPr>
        <w:t>202</w:t>
      </w:r>
      <w:r w:rsidR="005A0EFB" w:rsidRPr="00EB4C63">
        <w:rPr>
          <w:sz w:val="28"/>
          <w:szCs w:val="28"/>
          <w:lang w:eastAsia="x-none"/>
        </w:rPr>
        <w:t>2</w:t>
      </w:r>
      <w:r w:rsidRPr="00EB4C63">
        <w:rPr>
          <w:sz w:val="28"/>
          <w:szCs w:val="28"/>
          <w:lang w:eastAsia="x-none"/>
        </w:rPr>
        <w:t xml:space="preserve"> года по рабочим дням (в понедельник с 09.00 час. до 18.00час., со вторника по пятницу с: 09.00час. до 17.00час., в предпраздничные дни: с 09.00час. до 16.00 час.).</w:t>
      </w:r>
    </w:p>
    <w:p w:rsidR="00B84C4E" w:rsidRPr="00EB4C63" w:rsidRDefault="00D81525" w:rsidP="00B84C4E">
      <w:pPr>
        <w:autoSpaceDE w:val="0"/>
        <w:autoSpaceDN w:val="0"/>
        <w:adjustRightInd w:val="0"/>
        <w:ind w:firstLine="708"/>
        <w:jc w:val="both"/>
        <w:rPr>
          <w:sz w:val="28"/>
          <w:szCs w:val="28"/>
          <w:lang w:eastAsia="x-none"/>
        </w:rPr>
      </w:pPr>
      <w:r w:rsidRPr="00EB4C63">
        <w:rPr>
          <w:sz w:val="28"/>
          <w:szCs w:val="28"/>
          <w:lang w:eastAsia="x-none"/>
        </w:rPr>
        <w:t xml:space="preserve"> Конкурсные предложения представляются участниками Конкурса в Конкурсную комиссию по месту нахождения в запечатанных конвертах (коробках) с пометкой </w:t>
      </w:r>
      <w:r w:rsidR="00CE5AEE" w:rsidRPr="00EB4C63">
        <w:rPr>
          <w:sz w:val="28"/>
          <w:szCs w:val="28"/>
          <w:lang w:eastAsia="x-none"/>
        </w:rPr>
        <w:t>«</w:t>
      </w:r>
      <w:r w:rsidR="00365A1E">
        <w:rPr>
          <w:sz w:val="28"/>
          <w:szCs w:val="28"/>
          <w:lang w:eastAsia="x-none"/>
        </w:rPr>
        <w:t>КОНКУРСНОЕ ПРЕДЛОЖЕНИЕ</w:t>
      </w:r>
      <w:r w:rsidR="00CE5AEE" w:rsidRPr="00EB4C63">
        <w:rPr>
          <w:sz w:val="28"/>
          <w:szCs w:val="28"/>
          <w:lang w:eastAsia="x-none"/>
        </w:rPr>
        <w:t xml:space="preserve"> НА УЧАСТИЕ В ОТКРЫТОМ КОНКУРСЕ НА ПРАВО ЗАКЛЮЧЕНИЯ КОНЦЕССИОННОГО СОГЛАШЕНИЯ В ОТНОШЕНИИ ОБЪЕКТОВ, ПРЕДНАЗНАЧЕННЫХ ДЛЯ НАРУЖНОГО: УЛИЧНОГО И ВНУТРИКВАРТАЛЬНОГО (ДВОРОВОГО) ОСВЕЩЕНИЯ ТЕРРИТОРИИ ГОРОДА ПЫТЬ-ЯХА»</w:t>
      </w:r>
      <w:r w:rsidRPr="00EB4C63">
        <w:rPr>
          <w:sz w:val="28"/>
          <w:szCs w:val="28"/>
          <w:lang w:eastAsia="x-none"/>
        </w:rPr>
        <w:t xml:space="preserve"> (на конверте также указываются: наименование и адрес участника и адрес для подачи конкурсного предложения) </w:t>
      </w:r>
      <w:r w:rsidR="00A45589" w:rsidRPr="00EB4C63">
        <w:rPr>
          <w:sz w:val="28"/>
          <w:szCs w:val="28"/>
          <w:lang w:eastAsia="x-none"/>
        </w:rPr>
        <w:t>с 09.00 час</w:t>
      </w:r>
      <w:r w:rsidR="00A45589">
        <w:rPr>
          <w:sz w:val="28"/>
          <w:szCs w:val="28"/>
          <w:lang w:eastAsia="x-none"/>
        </w:rPr>
        <w:t>ов</w:t>
      </w:r>
      <w:r w:rsidR="00A45589" w:rsidRPr="00EB4C63">
        <w:rPr>
          <w:sz w:val="28"/>
          <w:szCs w:val="28"/>
          <w:lang w:eastAsia="x-none"/>
        </w:rPr>
        <w:t xml:space="preserve"> </w:t>
      </w:r>
      <w:r w:rsidR="00365A1E">
        <w:rPr>
          <w:sz w:val="28"/>
          <w:szCs w:val="28"/>
          <w:lang w:eastAsia="x-none"/>
        </w:rPr>
        <w:t>27</w:t>
      </w:r>
      <w:r w:rsidR="00A45589">
        <w:rPr>
          <w:sz w:val="28"/>
          <w:szCs w:val="28"/>
          <w:lang w:eastAsia="x-none"/>
        </w:rPr>
        <w:t xml:space="preserve"> </w:t>
      </w:r>
      <w:r w:rsidR="00365A1E">
        <w:rPr>
          <w:sz w:val="28"/>
          <w:szCs w:val="28"/>
          <w:lang w:eastAsia="x-none"/>
        </w:rPr>
        <w:t>июня</w:t>
      </w:r>
      <w:r w:rsidR="00A45589">
        <w:rPr>
          <w:sz w:val="28"/>
          <w:szCs w:val="28"/>
          <w:lang w:eastAsia="x-none"/>
        </w:rPr>
        <w:t xml:space="preserve"> 2022 года </w:t>
      </w:r>
      <w:r w:rsidR="00A45589" w:rsidRPr="00EB4C63">
        <w:rPr>
          <w:sz w:val="28"/>
          <w:szCs w:val="28"/>
          <w:lang w:eastAsia="x-none"/>
        </w:rPr>
        <w:t>до 1</w:t>
      </w:r>
      <w:r w:rsidR="00365A1E">
        <w:rPr>
          <w:sz w:val="28"/>
          <w:szCs w:val="28"/>
          <w:lang w:eastAsia="x-none"/>
        </w:rPr>
        <w:t>7</w:t>
      </w:r>
      <w:r w:rsidR="00A45589" w:rsidRPr="00EB4C63">
        <w:rPr>
          <w:sz w:val="28"/>
          <w:szCs w:val="28"/>
          <w:lang w:eastAsia="x-none"/>
        </w:rPr>
        <w:t>.00 час</w:t>
      </w:r>
      <w:r w:rsidR="00A45589">
        <w:rPr>
          <w:sz w:val="28"/>
          <w:szCs w:val="28"/>
          <w:lang w:eastAsia="x-none"/>
        </w:rPr>
        <w:t xml:space="preserve">ов </w:t>
      </w:r>
      <w:r w:rsidR="00365A1E">
        <w:rPr>
          <w:sz w:val="28"/>
          <w:szCs w:val="28"/>
          <w:lang w:eastAsia="x-none"/>
        </w:rPr>
        <w:t>16</w:t>
      </w:r>
      <w:r w:rsidR="00A45589">
        <w:rPr>
          <w:sz w:val="28"/>
          <w:szCs w:val="28"/>
          <w:lang w:eastAsia="x-none"/>
        </w:rPr>
        <w:t xml:space="preserve"> </w:t>
      </w:r>
      <w:r w:rsidR="00365A1E">
        <w:rPr>
          <w:sz w:val="28"/>
          <w:szCs w:val="28"/>
          <w:lang w:eastAsia="x-none"/>
        </w:rPr>
        <w:t>сентября</w:t>
      </w:r>
      <w:r w:rsidR="00A45589">
        <w:rPr>
          <w:sz w:val="28"/>
          <w:szCs w:val="28"/>
          <w:lang w:eastAsia="x-none"/>
        </w:rPr>
        <w:t xml:space="preserve"> </w:t>
      </w:r>
      <w:r w:rsidR="00A45589" w:rsidRPr="00EB4C63">
        <w:rPr>
          <w:sz w:val="28"/>
          <w:szCs w:val="28"/>
          <w:lang w:eastAsia="x-none"/>
        </w:rPr>
        <w:t xml:space="preserve">2022 года по рабочим дням </w:t>
      </w:r>
      <w:r w:rsidR="00B84C4E" w:rsidRPr="00EB4C63">
        <w:rPr>
          <w:sz w:val="28"/>
          <w:szCs w:val="28"/>
          <w:lang w:eastAsia="x-none"/>
        </w:rPr>
        <w:t>(в понедельник с 09.00 час. до 18.00</w:t>
      </w:r>
      <w:r w:rsidR="00AB7C4C">
        <w:rPr>
          <w:sz w:val="28"/>
          <w:szCs w:val="28"/>
          <w:lang w:eastAsia="x-none"/>
        </w:rPr>
        <w:t xml:space="preserve"> </w:t>
      </w:r>
      <w:r w:rsidR="00B84C4E" w:rsidRPr="00EB4C63">
        <w:rPr>
          <w:sz w:val="28"/>
          <w:szCs w:val="28"/>
          <w:lang w:eastAsia="x-none"/>
        </w:rPr>
        <w:t>час., со вторника по пятницу с: 09.00час. до 17.00час., в предпраздничные дни: с 09.00час. до 16.00 час.).</w:t>
      </w:r>
    </w:p>
    <w:p w:rsidR="00D81525"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 xml:space="preserve">Обеспечением обязательства по заключению Концессионного соглашения является Задаток в размере </w:t>
      </w:r>
      <w:r w:rsidR="00F457A0" w:rsidRPr="00EB4C63">
        <w:rPr>
          <w:sz w:val="28"/>
          <w:szCs w:val="28"/>
          <w:lang w:eastAsia="x-none"/>
        </w:rPr>
        <w:t>50</w:t>
      </w:r>
      <w:r w:rsidRPr="00EB4C63">
        <w:rPr>
          <w:sz w:val="28"/>
          <w:szCs w:val="28"/>
          <w:lang w:eastAsia="x-none"/>
        </w:rPr>
        <w:t xml:space="preserve"> 000 (</w:t>
      </w:r>
      <w:r w:rsidR="00F457A0" w:rsidRPr="00EB4C63">
        <w:rPr>
          <w:sz w:val="28"/>
          <w:szCs w:val="28"/>
          <w:lang w:eastAsia="x-none"/>
        </w:rPr>
        <w:t>пятьдесят</w:t>
      </w:r>
      <w:r w:rsidRPr="00EB4C63">
        <w:rPr>
          <w:sz w:val="28"/>
          <w:szCs w:val="28"/>
          <w:lang w:eastAsia="x-none"/>
        </w:rPr>
        <w:t xml:space="preserve"> тысяч) рублей.</w:t>
      </w:r>
    </w:p>
    <w:p w:rsidR="00D81525"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 xml:space="preserve">Указанная сумма Задатка должна быть зачислена на счёт Организатора Конкурса </w:t>
      </w:r>
      <w:r w:rsidR="007D7A27" w:rsidRPr="00EB4C63">
        <w:rPr>
          <w:sz w:val="28"/>
          <w:szCs w:val="28"/>
        </w:rPr>
        <w:t>не позднее дня истечения срока представления заявок на участие в конкурсе</w:t>
      </w:r>
      <w:r w:rsidRPr="00EB4C63">
        <w:rPr>
          <w:sz w:val="28"/>
          <w:szCs w:val="28"/>
          <w:lang w:eastAsia="x-none"/>
        </w:rPr>
        <w:t>.</w:t>
      </w:r>
    </w:p>
    <w:p w:rsidR="00D81525"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В составе Заявки на участие в Конкурсе Заявитель должен представить платежное поручение, подтверждающее факт внесения суммы задатка в полном размере на счет Организатора Конкурса, по следующим реквизитам:</w:t>
      </w:r>
    </w:p>
    <w:p w:rsidR="00D81525" w:rsidRPr="00EB4C63" w:rsidRDefault="00D81525" w:rsidP="00F457A0">
      <w:pPr>
        <w:rPr>
          <w:sz w:val="28"/>
          <w:szCs w:val="28"/>
        </w:rPr>
      </w:pPr>
      <w:r w:rsidRPr="00EB4C63">
        <w:rPr>
          <w:sz w:val="28"/>
          <w:szCs w:val="28"/>
          <w:lang w:eastAsia="x-none"/>
        </w:rPr>
        <w:t>Наименование организации –</w:t>
      </w:r>
      <w:r w:rsidR="00F457A0" w:rsidRPr="00EB4C63">
        <w:rPr>
          <w:sz w:val="28"/>
          <w:szCs w:val="28"/>
          <w:lang w:eastAsia="x-none"/>
        </w:rPr>
        <w:t xml:space="preserve"> </w:t>
      </w:r>
      <w:r w:rsidR="00F457A0" w:rsidRPr="00EB4C63">
        <w:rPr>
          <w:sz w:val="28"/>
          <w:szCs w:val="28"/>
        </w:rPr>
        <w:t xml:space="preserve">Администрация города Пыть-Яха исполнительно-распорядительный орган муниципального образования </w:t>
      </w:r>
      <w:r w:rsidRPr="00EB4C63">
        <w:rPr>
          <w:sz w:val="28"/>
          <w:szCs w:val="28"/>
          <w:lang w:eastAsia="x-none"/>
        </w:rPr>
        <w:t xml:space="preserve">Получатель – </w:t>
      </w:r>
      <w:r w:rsidR="000A4F3F" w:rsidRPr="00EB4C63">
        <w:rPr>
          <w:sz w:val="28"/>
          <w:szCs w:val="28"/>
        </w:rPr>
        <w:t>МКУ Администрация г.Пыть-Яха л.с. 04873033440</w:t>
      </w:r>
      <w:r w:rsidRPr="00EB4C63">
        <w:rPr>
          <w:rFonts w:eastAsia="Calibri"/>
          <w:sz w:val="28"/>
          <w:szCs w:val="28"/>
        </w:rPr>
        <w:t xml:space="preserve">  </w:t>
      </w:r>
    </w:p>
    <w:p w:rsidR="00D81525"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 xml:space="preserve">ИНН </w:t>
      </w:r>
      <w:r w:rsidR="00F457A0" w:rsidRPr="00EB4C63">
        <w:rPr>
          <w:sz w:val="28"/>
          <w:szCs w:val="28"/>
        </w:rPr>
        <w:t>8612005313</w:t>
      </w:r>
    </w:p>
    <w:p w:rsidR="00D81525"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 xml:space="preserve">КПП </w:t>
      </w:r>
      <w:r w:rsidR="00F457A0" w:rsidRPr="00EB4C63">
        <w:rPr>
          <w:sz w:val="28"/>
          <w:szCs w:val="28"/>
        </w:rPr>
        <w:t>861201001</w:t>
      </w:r>
    </w:p>
    <w:p w:rsidR="00D81525"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 xml:space="preserve">ОКТМО </w:t>
      </w:r>
      <w:r w:rsidR="00F457A0" w:rsidRPr="00EB4C63">
        <w:rPr>
          <w:sz w:val="28"/>
          <w:szCs w:val="28"/>
        </w:rPr>
        <w:t>71885000</w:t>
      </w:r>
    </w:p>
    <w:p w:rsidR="00D81525" w:rsidRPr="00EB4C63" w:rsidRDefault="004E2D4F" w:rsidP="00D81525">
      <w:pPr>
        <w:autoSpaceDE w:val="0"/>
        <w:autoSpaceDN w:val="0"/>
        <w:adjustRightInd w:val="0"/>
        <w:ind w:firstLine="708"/>
        <w:jc w:val="both"/>
        <w:rPr>
          <w:sz w:val="28"/>
          <w:szCs w:val="28"/>
          <w:lang w:eastAsia="x-none"/>
        </w:rPr>
      </w:pPr>
      <w:r w:rsidRPr="00EB4C63">
        <w:rPr>
          <w:sz w:val="28"/>
          <w:szCs w:val="28"/>
          <w:lang w:eastAsia="x-none"/>
        </w:rPr>
        <w:t xml:space="preserve">БИК </w:t>
      </w:r>
      <w:r w:rsidR="00F457A0" w:rsidRPr="00EB4C63">
        <w:rPr>
          <w:sz w:val="28"/>
          <w:szCs w:val="28"/>
        </w:rPr>
        <w:t>007162163</w:t>
      </w:r>
    </w:p>
    <w:p w:rsidR="00D81525"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 xml:space="preserve">Наименование банка </w:t>
      </w:r>
      <w:r w:rsidR="00F457A0" w:rsidRPr="00EB4C63">
        <w:rPr>
          <w:sz w:val="28"/>
          <w:szCs w:val="28"/>
        </w:rPr>
        <w:t>РКЦ ХАНТЫ-МАНСИЙСК//УФК по Ханты-Мансийскому автономному округу – Югре г. Ханты-Мансийск</w:t>
      </w:r>
    </w:p>
    <w:p w:rsidR="00D81525"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Местонахождение банка г. Ханты-Мансийск</w:t>
      </w:r>
    </w:p>
    <w:p w:rsidR="00D81525"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 xml:space="preserve">Расчетный счет </w:t>
      </w:r>
      <w:r w:rsidR="00F457A0" w:rsidRPr="00EB4C63">
        <w:rPr>
          <w:sz w:val="28"/>
          <w:szCs w:val="28"/>
        </w:rPr>
        <w:t>40102810245370000007</w:t>
      </w:r>
    </w:p>
    <w:p w:rsidR="00F457A0" w:rsidRPr="00EB4C63" w:rsidRDefault="00D81525" w:rsidP="00D81525">
      <w:pPr>
        <w:autoSpaceDE w:val="0"/>
        <w:autoSpaceDN w:val="0"/>
        <w:adjustRightInd w:val="0"/>
        <w:ind w:firstLine="708"/>
        <w:jc w:val="both"/>
        <w:rPr>
          <w:sz w:val="28"/>
          <w:szCs w:val="28"/>
        </w:rPr>
      </w:pPr>
      <w:r w:rsidRPr="00EB4C63">
        <w:rPr>
          <w:sz w:val="28"/>
          <w:szCs w:val="28"/>
          <w:lang w:eastAsia="x-none"/>
        </w:rPr>
        <w:t xml:space="preserve">Казначейский счет </w:t>
      </w:r>
      <w:r w:rsidR="00F457A0" w:rsidRPr="00EB4C63">
        <w:rPr>
          <w:sz w:val="28"/>
          <w:szCs w:val="28"/>
        </w:rPr>
        <w:t>03100643000000018700</w:t>
      </w:r>
    </w:p>
    <w:p w:rsidR="00D81525"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 xml:space="preserve">В назначении платежа должно быть указано: «Задаток в обеспечение заключения КС </w:t>
      </w:r>
      <w:r w:rsidR="00F457A0" w:rsidRPr="00EB4C63">
        <w:rPr>
          <w:sz w:val="28"/>
          <w:szCs w:val="28"/>
          <w:lang w:eastAsia="x-none"/>
        </w:rPr>
        <w:t>в отношении объектов, предназначенных для наружного: уличного и внутриквартального (дворового) освещения территории города Пыть-Яха</w:t>
      </w:r>
      <w:r w:rsidR="00A57CBF" w:rsidRPr="00EB4C63">
        <w:rPr>
          <w:sz w:val="28"/>
          <w:szCs w:val="28"/>
          <w:lang w:eastAsia="x-none"/>
        </w:rPr>
        <w:t>»</w:t>
      </w:r>
      <w:r w:rsidR="00F457A0" w:rsidRPr="00EB4C63">
        <w:rPr>
          <w:sz w:val="28"/>
          <w:szCs w:val="28"/>
          <w:lang w:eastAsia="x-none"/>
        </w:rPr>
        <w:t>.</w:t>
      </w:r>
    </w:p>
    <w:p w:rsidR="00D81525" w:rsidRPr="00E7264F" w:rsidRDefault="00D81525" w:rsidP="00D81525">
      <w:pPr>
        <w:autoSpaceDE w:val="0"/>
        <w:autoSpaceDN w:val="0"/>
        <w:adjustRightInd w:val="0"/>
        <w:ind w:firstLine="708"/>
        <w:jc w:val="both"/>
        <w:rPr>
          <w:color w:val="FF0000"/>
          <w:sz w:val="28"/>
          <w:szCs w:val="28"/>
          <w:lang w:eastAsia="x-none"/>
        </w:rPr>
      </w:pPr>
      <w:r w:rsidRPr="00EB4C63">
        <w:rPr>
          <w:sz w:val="28"/>
          <w:szCs w:val="28"/>
          <w:lang w:eastAsia="x-none"/>
        </w:rPr>
        <w:t xml:space="preserve">Вскрытие конвертов (коробок) с заявками на участие в Конкурсе будет произведено в 10.00 час. </w:t>
      </w:r>
      <w:r w:rsidR="00365A1E">
        <w:rPr>
          <w:sz w:val="28"/>
          <w:szCs w:val="28"/>
          <w:lang w:eastAsia="x-none"/>
        </w:rPr>
        <w:t>21</w:t>
      </w:r>
      <w:r w:rsidR="00E7264F">
        <w:rPr>
          <w:sz w:val="28"/>
          <w:szCs w:val="28"/>
          <w:lang w:eastAsia="x-none"/>
        </w:rPr>
        <w:t xml:space="preserve"> июня </w:t>
      </w:r>
      <w:r w:rsidR="00DE61D2" w:rsidRPr="00EB4C63">
        <w:rPr>
          <w:sz w:val="28"/>
          <w:szCs w:val="28"/>
          <w:lang w:eastAsia="x-none"/>
        </w:rPr>
        <w:t xml:space="preserve">2022 </w:t>
      </w:r>
      <w:r w:rsidRPr="00EB4C63">
        <w:rPr>
          <w:sz w:val="28"/>
          <w:szCs w:val="28"/>
          <w:lang w:eastAsia="x-none"/>
        </w:rPr>
        <w:t xml:space="preserve"> года по адресу: </w:t>
      </w:r>
      <w:r w:rsidRPr="00EB4C63">
        <w:rPr>
          <w:rFonts w:eastAsia="Calibri"/>
          <w:sz w:val="28"/>
          <w:szCs w:val="28"/>
        </w:rPr>
        <w:t>628</w:t>
      </w:r>
      <w:r w:rsidR="00CE5AEE" w:rsidRPr="00EB4C63">
        <w:rPr>
          <w:rFonts w:eastAsia="Calibri"/>
          <w:sz w:val="28"/>
          <w:szCs w:val="28"/>
        </w:rPr>
        <w:t>380</w:t>
      </w:r>
      <w:r w:rsidRPr="00EB4C63">
        <w:rPr>
          <w:rFonts w:eastAsia="Calibri"/>
          <w:sz w:val="28"/>
          <w:szCs w:val="28"/>
        </w:rPr>
        <w:t xml:space="preserve">, Ханты-Мансийский автономный округ – Югра, </w:t>
      </w:r>
      <w:r w:rsidR="00CE5AEE" w:rsidRPr="00EB4C63">
        <w:rPr>
          <w:rFonts w:eastAsia="Calibri"/>
          <w:sz w:val="28"/>
          <w:szCs w:val="28"/>
        </w:rPr>
        <w:t>город Пыть-Ях</w:t>
      </w:r>
      <w:r w:rsidRPr="00EB4C63">
        <w:rPr>
          <w:rFonts w:eastAsia="Calibri"/>
          <w:sz w:val="28"/>
          <w:szCs w:val="28"/>
        </w:rPr>
        <w:t xml:space="preserve">, </w:t>
      </w:r>
      <w:r w:rsidR="00CE5AEE" w:rsidRPr="00EB4C63">
        <w:rPr>
          <w:rFonts w:eastAsia="Calibri"/>
          <w:sz w:val="28"/>
          <w:szCs w:val="28"/>
        </w:rPr>
        <w:t>мкр. 1-й «Центральный»</w:t>
      </w:r>
      <w:r w:rsidRPr="00EB4C63">
        <w:rPr>
          <w:rFonts w:eastAsia="Calibri"/>
          <w:sz w:val="28"/>
          <w:szCs w:val="28"/>
        </w:rPr>
        <w:t xml:space="preserve">, д. </w:t>
      </w:r>
      <w:r w:rsidR="00CE5AEE" w:rsidRPr="00EB4C63">
        <w:rPr>
          <w:rFonts w:eastAsia="Calibri"/>
          <w:sz w:val="28"/>
          <w:szCs w:val="28"/>
        </w:rPr>
        <w:t>18А</w:t>
      </w:r>
      <w:r w:rsidRPr="00EB4C63">
        <w:rPr>
          <w:sz w:val="28"/>
          <w:szCs w:val="28"/>
          <w:lang w:eastAsia="x-none"/>
        </w:rPr>
        <w:t xml:space="preserve">, </w:t>
      </w:r>
      <w:r w:rsidRPr="00365A1E">
        <w:rPr>
          <w:sz w:val="28"/>
          <w:szCs w:val="28"/>
          <w:lang w:eastAsia="x-none"/>
        </w:rPr>
        <w:t>кабинет</w:t>
      </w:r>
      <w:r w:rsidR="00DE61D2" w:rsidRPr="00365A1E">
        <w:rPr>
          <w:sz w:val="28"/>
          <w:szCs w:val="28"/>
          <w:lang w:eastAsia="x-none"/>
        </w:rPr>
        <w:t xml:space="preserve"> </w:t>
      </w:r>
      <w:r w:rsidR="00365A1E" w:rsidRPr="00365A1E">
        <w:rPr>
          <w:sz w:val="28"/>
          <w:szCs w:val="28"/>
          <w:lang w:eastAsia="x-none"/>
        </w:rPr>
        <w:t>315</w:t>
      </w:r>
      <w:r w:rsidR="00365A1E">
        <w:rPr>
          <w:sz w:val="28"/>
          <w:szCs w:val="28"/>
          <w:lang w:eastAsia="x-none"/>
        </w:rPr>
        <w:t>.</w:t>
      </w:r>
      <w:r w:rsidRPr="00E7264F">
        <w:rPr>
          <w:color w:val="FF0000"/>
          <w:sz w:val="28"/>
          <w:szCs w:val="28"/>
          <w:lang w:eastAsia="x-none"/>
        </w:rPr>
        <w:t xml:space="preserve"> </w:t>
      </w:r>
    </w:p>
    <w:p w:rsidR="00DE61D2" w:rsidRPr="00E7264F" w:rsidRDefault="00D81525" w:rsidP="00DE61D2">
      <w:pPr>
        <w:autoSpaceDE w:val="0"/>
        <w:autoSpaceDN w:val="0"/>
        <w:adjustRightInd w:val="0"/>
        <w:ind w:firstLine="708"/>
        <w:jc w:val="both"/>
        <w:rPr>
          <w:color w:val="FF0000"/>
          <w:sz w:val="28"/>
          <w:szCs w:val="28"/>
          <w:lang w:eastAsia="x-none"/>
        </w:rPr>
      </w:pPr>
      <w:r w:rsidRPr="00EB4C63">
        <w:rPr>
          <w:sz w:val="28"/>
          <w:szCs w:val="28"/>
          <w:lang w:eastAsia="x-none"/>
        </w:rPr>
        <w:lastRenderedPageBreak/>
        <w:t xml:space="preserve">Вскрытие конвертов (коробок) с конкурсными предложениями будет произведено </w:t>
      </w:r>
      <w:r w:rsidR="00DE61D2" w:rsidRPr="00EB4C63">
        <w:rPr>
          <w:sz w:val="28"/>
          <w:szCs w:val="28"/>
          <w:lang w:eastAsia="x-none"/>
        </w:rPr>
        <w:t xml:space="preserve">в 10.00 час. </w:t>
      </w:r>
      <w:r w:rsidR="00365A1E">
        <w:rPr>
          <w:sz w:val="28"/>
          <w:szCs w:val="28"/>
          <w:lang w:eastAsia="x-none"/>
        </w:rPr>
        <w:t>19</w:t>
      </w:r>
      <w:r w:rsidR="00E7264F">
        <w:rPr>
          <w:sz w:val="28"/>
          <w:szCs w:val="28"/>
          <w:lang w:eastAsia="x-none"/>
        </w:rPr>
        <w:t xml:space="preserve"> сентября </w:t>
      </w:r>
      <w:r w:rsidR="00DE61D2" w:rsidRPr="00EB4C63">
        <w:rPr>
          <w:sz w:val="28"/>
          <w:szCs w:val="28"/>
          <w:lang w:eastAsia="x-none"/>
        </w:rPr>
        <w:t xml:space="preserve">2022 года по адресу: </w:t>
      </w:r>
      <w:r w:rsidR="00DE61D2" w:rsidRPr="00EB4C63">
        <w:rPr>
          <w:rFonts w:eastAsia="Calibri"/>
          <w:sz w:val="28"/>
          <w:szCs w:val="28"/>
        </w:rPr>
        <w:t>628380, Ханты-Мансийский автономный округ – Югра, город Пыть-Ях, мкр. 1-й «Центральный</w:t>
      </w:r>
      <w:r w:rsidR="00DE61D2" w:rsidRPr="00365A1E">
        <w:rPr>
          <w:rFonts w:eastAsia="Calibri"/>
          <w:sz w:val="28"/>
          <w:szCs w:val="28"/>
        </w:rPr>
        <w:t>», д. 18А</w:t>
      </w:r>
      <w:r w:rsidR="00DE61D2" w:rsidRPr="00365A1E">
        <w:rPr>
          <w:sz w:val="28"/>
          <w:szCs w:val="28"/>
          <w:lang w:eastAsia="x-none"/>
        </w:rPr>
        <w:t xml:space="preserve">, кабинет </w:t>
      </w:r>
      <w:r w:rsidR="00365A1E" w:rsidRPr="00365A1E">
        <w:rPr>
          <w:sz w:val="28"/>
          <w:szCs w:val="28"/>
          <w:lang w:eastAsia="x-none"/>
        </w:rPr>
        <w:t>315</w:t>
      </w:r>
      <w:r w:rsidR="00DE61D2" w:rsidRPr="00365A1E">
        <w:rPr>
          <w:sz w:val="28"/>
          <w:szCs w:val="28"/>
          <w:lang w:eastAsia="x-none"/>
        </w:rPr>
        <w:t xml:space="preserve">. </w:t>
      </w:r>
    </w:p>
    <w:p w:rsidR="00D81525"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Перечисленные выше сроки могут быть изменены решением Организатора Конкурса о внесении изменений в Конкурсную документацию. Соответствующие сообщения о внесении изменений в Конкурсную документацию подлежат опубликованию в установленном порядке.</w:t>
      </w:r>
    </w:p>
    <w:p w:rsidR="00D81525"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Победитель Конкурса определяется путем распределения Конкурсной комиссией Конкурсных предложений по результатам рассмотрения и оценки представленных Конкурсных предложений в порядке, установленном Конкурсной документаци</w:t>
      </w:r>
      <w:r w:rsidR="00A57CBF" w:rsidRPr="00EB4C63">
        <w:rPr>
          <w:sz w:val="28"/>
          <w:szCs w:val="28"/>
          <w:lang w:eastAsia="x-none"/>
        </w:rPr>
        <w:t>ей</w:t>
      </w:r>
      <w:r w:rsidRPr="00EB4C63">
        <w:rPr>
          <w:sz w:val="28"/>
          <w:szCs w:val="28"/>
          <w:lang w:eastAsia="x-none"/>
        </w:rPr>
        <w:t>. Наивысший рейтинг (первое место) присваивается конкурсному предложению, получившему в результате оценки наивысший суммарный балл, то есть содержащему наилучшие условия из всех условий, предложенных в оцениваемых конкурсных предложениях.</w:t>
      </w:r>
    </w:p>
    <w:p w:rsidR="00D81525"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Протокол о результатах проведения Конкурса должен быть подписан в течение 5 (пяти) рабочих дней со дня подписания Конкурсной комиссией протокола рассмотрения и оценки Конкурсных предложений.</w:t>
      </w:r>
    </w:p>
    <w:p w:rsidR="00A57CBF" w:rsidRPr="00EB4C63" w:rsidRDefault="00A57CBF" w:rsidP="00A57CBF">
      <w:pPr>
        <w:ind w:firstLine="567"/>
        <w:jc w:val="both"/>
        <w:rPr>
          <w:sz w:val="28"/>
          <w:szCs w:val="28"/>
        </w:rPr>
      </w:pPr>
      <w:r w:rsidRPr="00EB4C63">
        <w:rPr>
          <w:sz w:val="28"/>
          <w:szCs w:val="28"/>
        </w:rPr>
        <w:t xml:space="preserve">Срок подписания Концессионного соглашения – </w:t>
      </w:r>
      <w:r w:rsidR="0079232F" w:rsidRPr="00EB4C63">
        <w:rPr>
          <w:i/>
          <w:sz w:val="28"/>
          <w:szCs w:val="28"/>
        </w:rPr>
        <w:t>в</w:t>
      </w:r>
      <w:r w:rsidR="0079232F" w:rsidRPr="00EB4C63">
        <w:rPr>
          <w:sz w:val="28"/>
          <w:szCs w:val="28"/>
        </w:rPr>
        <w:t xml:space="preserve"> течение 10 рабочих дней с момента получения победителем открытого конкурса протокола о результатах проведения открытого конкурса и проекта концессионного соглашения</w:t>
      </w:r>
      <w:r w:rsidRPr="00EB4C63">
        <w:rPr>
          <w:sz w:val="28"/>
          <w:szCs w:val="28"/>
        </w:rPr>
        <w:t>.</w:t>
      </w:r>
    </w:p>
    <w:p w:rsidR="00D81525"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Сроки подписания Концессионного соглашения могут быть изменены только в случаях, предусмотренных Конкурсной документацией.</w:t>
      </w:r>
    </w:p>
    <w:p w:rsidR="00EB4C63" w:rsidRPr="00EB4C63" w:rsidRDefault="00EB4C63" w:rsidP="00EB4C63">
      <w:pPr>
        <w:ind w:firstLine="567"/>
        <w:jc w:val="both"/>
        <w:rPr>
          <w:sz w:val="28"/>
          <w:szCs w:val="28"/>
        </w:rPr>
      </w:pPr>
      <w:r w:rsidRPr="00EB4C63">
        <w:rPr>
          <w:sz w:val="28"/>
          <w:szCs w:val="28"/>
        </w:rPr>
        <w:t xml:space="preserve">В случаях, предусмотренных пунктами 2 и 3 статьи 36 </w:t>
      </w:r>
      <w:r w:rsidR="00E7264F">
        <w:rPr>
          <w:sz w:val="28"/>
          <w:szCs w:val="28"/>
        </w:rPr>
        <w:t xml:space="preserve">Федерального </w:t>
      </w:r>
      <w:r w:rsidRPr="00EB4C63">
        <w:rPr>
          <w:sz w:val="28"/>
          <w:szCs w:val="28"/>
        </w:rPr>
        <w:t>Закона</w:t>
      </w:r>
      <w:r w:rsidR="00E7264F">
        <w:rPr>
          <w:sz w:val="28"/>
          <w:szCs w:val="28"/>
        </w:rPr>
        <w:t xml:space="preserve"> от 21.07.2005 №115-ФЗ «О </w:t>
      </w:r>
      <w:r w:rsidRPr="00EB4C63">
        <w:rPr>
          <w:sz w:val="28"/>
          <w:szCs w:val="28"/>
        </w:rPr>
        <w:t>концессионных соглашениях</w:t>
      </w:r>
      <w:r w:rsidR="00E7264F">
        <w:rPr>
          <w:sz w:val="28"/>
          <w:szCs w:val="28"/>
        </w:rPr>
        <w:t>»</w:t>
      </w:r>
      <w:r w:rsidRPr="00EB4C63">
        <w:rPr>
          <w:sz w:val="28"/>
          <w:szCs w:val="28"/>
        </w:rPr>
        <w:t>, Концессионное соглашение заключается с иным лицом, в отношении которого принято решение о заключении Концессионного соглашения, в течение                                70 (семидесяти) рабочих дней с момента напра</w:t>
      </w:r>
      <w:r w:rsidR="00C2766E">
        <w:rPr>
          <w:sz w:val="28"/>
          <w:szCs w:val="28"/>
        </w:rPr>
        <w:t>вления Концедентом предложения о</w:t>
      </w:r>
      <w:r w:rsidRPr="00EB4C63">
        <w:rPr>
          <w:sz w:val="28"/>
          <w:szCs w:val="28"/>
        </w:rPr>
        <w:t xml:space="preserve"> заключении Концессионного соглашения и проекта Концессионного соглашения.</w:t>
      </w:r>
    </w:p>
    <w:p w:rsidR="00D81525" w:rsidRPr="00EB4C63" w:rsidRDefault="00D81525" w:rsidP="00D81525">
      <w:pPr>
        <w:autoSpaceDE w:val="0"/>
        <w:autoSpaceDN w:val="0"/>
        <w:adjustRightInd w:val="0"/>
        <w:ind w:firstLine="708"/>
        <w:jc w:val="both"/>
        <w:rPr>
          <w:sz w:val="28"/>
          <w:szCs w:val="28"/>
          <w:lang w:eastAsia="x-none"/>
        </w:rPr>
      </w:pPr>
      <w:r w:rsidRPr="00EB4C63">
        <w:rPr>
          <w:sz w:val="28"/>
          <w:szCs w:val="28"/>
          <w:lang w:eastAsia="x-none"/>
        </w:rPr>
        <w:t>Необходимая информация и сведения о ходе и результатах проведения Конкурса размещаются на официальном сайте Российск</w:t>
      </w:r>
      <w:r w:rsidR="00AB7C4C">
        <w:rPr>
          <w:sz w:val="28"/>
          <w:szCs w:val="28"/>
          <w:lang w:eastAsia="x-none"/>
        </w:rPr>
        <w:t xml:space="preserve">ой Федерации – </w:t>
      </w:r>
      <w:hyperlink r:id="rId11" w:history="1">
        <w:r w:rsidR="00AB7C4C" w:rsidRPr="006550FC">
          <w:rPr>
            <w:rStyle w:val="a9"/>
            <w:sz w:val="28"/>
            <w:szCs w:val="28"/>
            <w:lang w:eastAsia="x-none"/>
          </w:rPr>
          <w:t>www.torgi.gov.ru</w:t>
        </w:r>
      </w:hyperlink>
      <w:r w:rsidR="00AB7C4C">
        <w:rPr>
          <w:sz w:val="28"/>
          <w:szCs w:val="28"/>
          <w:lang w:eastAsia="x-none"/>
        </w:rPr>
        <w:t xml:space="preserve">, на официальном сайте Концедента - </w:t>
      </w:r>
      <w:hyperlink r:id="rId12" w:history="1">
        <w:r w:rsidR="00AB7C4C" w:rsidRPr="006550FC">
          <w:rPr>
            <w:rStyle w:val="a9"/>
            <w:sz w:val="28"/>
            <w:szCs w:val="28"/>
            <w:lang w:eastAsia="x-none"/>
          </w:rPr>
          <w:t>https://adm.gov86.org/</w:t>
        </w:r>
      </w:hyperlink>
      <w:r w:rsidR="00AB7C4C">
        <w:rPr>
          <w:sz w:val="28"/>
          <w:szCs w:val="28"/>
          <w:lang w:eastAsia="x-none"/>
        </w:rPr>
        <w:t xml:space="preserve"> </w:t>
      </w:r>
      <w:r w:rsidRPr="00EB4C63">
        <w:rPr>
          <w:sz w:val="28"/>
          <w:szCs w:val="28"/>
          <w:lang w:eastAsia="x-none"/>
        </w:rPr>
        <w:t xml:space="preserve">и на </w:t>
      </w:r>
      <w:r w:rsidR="00EB4C63" w:rsidRPr="00EB4C63">
        <w:rPr>
          <w:sz w:val="28"/>
          <w:szCs w:val="28"/>
          <w:lang w:eastAsia="x-none"/>
        </w:rPr>
        <w:t xml:space="preserve">Инвестиционном портале </w:t>
      </w:r>
      <w:r w:rsidRPr="00EB4C63">
        <w:rPr>
          <w:sz w:val="28"/>
          <w:szCs w:val="28"/>
          <w:lang w:eastAsia="x-none"/>
        </w:rPr>
        <w:t>Концедента –</w:t>
      </w:r>
      <w:r w:rsidR="00EB4C63" w:rsidRPr="00EB4C63">
        <w:rPr>
          <w:sz w:val="28"/>
          <w:szCs w:val="28"/>
          <w:lang w:eastAsia="x-none"/>
        </w:rPr>
        <w:t xml:space="preserve"> </w:t>
      </w:r>
      <w:r w:rsidRPr="00EB4C63">
        <w:rPr>
          <w:sz w:val="28"/>
          <w:szCs w:val="28"/>
          <w:lang w:eastAsia="x-none"/>
        </w:rPr>
        <w:t xml:space="preserve"> </w:t>
      </w:r>
      <w:hyperlink r:id="rId13" w:history="1">
        <w:r w:rsidR="00C2766E" w:rsidRPr="00AE6F34">
          <w:rPr>
            <w:rStyle w:val="a9"/>
            <w:sz w:val="28"/>
            <w:szCs w:val="28"/>
            <w:lang w:eastAsia="x-none"/>
          </w:rPr>
          <w:t>http://invest.gov86.org/</w:t>
        </w:r>
      </w:hyperlink>
      <w:r w:rsidR="00C2766E">
        <w:rPr>
          <w:rStyle w:val="a9"/>
          <w:color w:val="auto"/>
          <w:sz w:val="28"/>
          <w:szCs w:val="28"/>
          <w:lang w:eastAsia="x-none"/>
        </w:rPr>
        <w:t xml:space="preserve"> </w:t>
      </w:r>
      <w:r w:rsidR="00AB7C4C">
        <w:rPr>
          <w:rStyle w:val="a9"/>
          <w:color w:val="auto"/>
          <w:sz w:val="28"/>
          <w:szCs w:val="28"/>
          <w:lang w:eastAsia="x-none"/>
        </w:rPr>
        <w:t>.</w:t>
      </w:r>
    </w:p>
    <w:p w:rsidR="00507669" w:rsidRPr="00EB4C63" w:rsidRDefault="00507669">
      <w:pPr>
        <w:rPr>
          <w:sz w:val="28"/>
          <w:szCs w:val="28"/>
        </w:rPr>
      </w:pPr>
    </w:p>
    <w:sectPr w:rsidR="00507669" w:rsidRPr="00EB4C63" w:rsidSect="00A7577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FF6" w:rsidRDefault="00864FF6" w:rsidP="002C461A">
      <w:r>
        <w:separator/>
      </w:r>
    </w:p>
  </w:endnote>
  <w:endnote w:type="continuationSeparator" w:id="0">
    <w:p w:rsidR="00864FF6" w:rsidRDefault="00864FF6" w:rsidP="002C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FF6" w:rsidRDefault="00864FF6" w:rsidP="002C461A">
      <w:r>
        <w:separator/>
      </w:r>
    </w:p>
  </w:footnote>
  <w:footnote w:type="continuationSeparator" w:id="0">
    <w:p w:rsidR="00864FF6" w:rsidRDefault="00864FF6" w:rsidP="002C4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F61295"/>
    <w:multiLevelType w:val="hybridMultilevel"/>
    <w:tmpl w:val="1E38B36C"/>
    <w:lvl w:ilvl="0" w:tplc="23D026A0">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25"/>
    <w:rsid w:val="000273A0"/>
    <w:rsid w:val="00093685"/>
    <w:rsid w:val="00097A35"/>
    <w:rsid w:val="000A4F3F"/>
    <w:rsid w:val="000B59C0"/>
    <w:rsid w:val="000F348B"/>
    <w:rsid w:val="00106EE4"/>
    <w:rsid w:val="001133EA"/>
    <w:rsid w:val="00185213"/>
    <w:rsid w:val="001C3552"/>
    <w:rsid w:val="001C4086"/>
    <w:rsid w:val="002160AC"/>
    <w:rsid w:val="002C461A"/>
    <w:rsid w:val="00356DA8"/>
    <w:rsid w:val="00365A1E"/>
    <w:rsid w:val="004809E4"/>
    <w:rsid w:val="00481E00"/>
    <w:rsid w:val="004D1F95"/>
    <w:rsid w:val="004E2D4F"/>
    <w:rsid w:val="00507669"/>
    <w:rsid w:val="005A0EFB"/>
    <w:rsid w:val="00632E85"/>
    <w:rsid w:val="00672DCD"/>
    <w:rsid w:val="00687731"/>
    <w:rsid w:val="00752C5F"/>
    <w:rsid w:val="0079232F"/>
    <w:rsid w:val="007D7A27"/>
    <w:rsid w:val="007E63E4"/>
    <w:rsid w:val="00846EC5"/>
    <w:rsid w:val="00864FF6"/>
    <w:rsid w:val="00881466"/>
    <w:rsid w:val="009166AD"/>
    <w:rsid w:val="00934BF5"/>
    <w:rsid w:val="00A45589"/>
    <w:rsid w:val="00A57CBF"/>
    <w:rsid w:val="00A7577C"/>
    <w:rsid w:val="00AB7C4C"/>
    <w:rsid w:val="00B84C4E"/>
    <w:rsid w:val="00BE22F4"/>
    <w:rsid w:val="00BF3D4C"/>
    <w:rsid w:val="00C2766E"/>
    <w:rsid w:val="00C726D3"/>
    <w:rsid w:val="00CE5AEE"/>
    <w:rsid w:val="00D16405"/>
    <w:rsid w:val="00D81525"/>
    <w:rsid w:val="00DE61D2"/>
    <w:rsid w:val="00DF501A"/>
    <w:rsid w:val="00E03302"/>
    <w:rsid w:val="00E249BC"/>
    <w:rsid w:val="00E3702A"/>
    <w:rsid w:val="00E7264F"/>
    <w:rsid w:val="00E72856"/>
    <w:rsid w:val="00EB4C63"/>
    <w:rsid w:val="00ED0BFF"/>
    <w:rsid w:val="00F457A0"/>
    <w:rsid w:val="00F50DF5"/>
    <w:rsid w:val="00FC2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61EBC9-9B3F-4141-8836-49052EA2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5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01A"/>
    <w:rPr>
      <w:rFonts w:ascii="Tahoma" w:hAnsi="Tahoma" w:cs="Tahoma"/>
      <w:sz w:val="16"/>
      <w:szCs w:val="16"/>
    </w:rPr>
  </w:style>
  <w:style w:type="character" w:customStyle="1" w:styleId="a4">
    <w:name w:val="Текст выноски Знак"/>
    <w:basedOn w:val="a0"/>
    <w:link w:val="a3"/>
    <w:uiPriority w:val="99"/>
    <w:semiHidden/>
    <w:rsid w:val="00DF501A"/>
    <w:rPr>
      <w:rFonts w:ascii="Tahoma" w:eastAsia="Times New Roman" w:hAnsi="Tahoma" w:cs="Tahoma"/>
      <w:sz w:val="16"/>
      <w:szCs w:val="16"/>
      <w:lang w:eastAsia="ru-RU"/>
    </w:rPr>
  </w:style>
  <w:style w:type="paragraph" w:styleId="a5">
    <w:name w:val="header"/>
    <w:basedOn w:val="a"/>
    <w:link w:val="a6"/>
    <w:uiPriority w:val="99"/>
    <w:unhideWhenUsed/>
    <w:rsid w:val="002C461A"/>
    <w:pPr>
      <w:tabs>
        <w:tab w:val="center" w:pos="4677"/>
        <w:tab w:val="right" w:pos="9355"/>
      </w:tabs>
    </w:pPr>
  </w:style>
  <w:style w:type="character" w:customStyle="1" w:styleId="a6">
    <w:name w:val="Верхний колонтитул Знак"/>
    <w:basedOn w:val="a0"/>
    <w:link w:val="a5"/>
    <w:uiPriority w:val="99"/>
    <w:rsid w:val="002C461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C461A"/>
    <w:pPr>
      <w:tabs>
        <w:tab w:val="center" w:pos="4677"/>
        <w:tab w:val="right" w:pos="9355"/>
      </w:tabs>
    </w:pPr>
  </w:style>
  <w:style w:type="character" w:customStyle="1" w:styleId="a8">
    <w:name w:val="Нижний колонтитул Знак"/>
    <w:basedOn w:val="a0"/>
    <w:link w:val="a7"/>
    <w:uiPriority w:val="99"/>
    <w:rsid w:val="002C461A"/>
    <w:rPr>
      <w:rFonts w:ascii="Times New Roman" w:eastAsia="Times New Roman" w:hAnsi="Times New Roman" w:cs="Times New Roman"/>
      <w:sz w:val="24"/>
      <w:szCs w:val="24"/>
      <w:lang w:eastAsia="ru-RU"/>
    </w:rPr>
  </w:style>
  <w:style w:type="character" w:styleId="a9">
    <w:name w:val="Hyperlink"/>
    <w:basedOn w:val="a0"/>
    <w:uiPriority w:val="99"/>
    <w:unhideWhenUsed/>
    <w:rsid w:val="00ED0B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78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invest.gov86.org/" TargetMode="External"/><Relationship Id="rId3" Type="http://schemas.openxmlformats.org/officeDocument/2006/relationships/settings" Target="settings.xml"/><Relationship Id="rId7" Type="http://schemas.openxmlformats.org/officeDocument/2006/relationships/hyperlink" Target="mailto:adm@gov86.org" TargetMode="External"/><Relationship Id="rId12" Type="http://schemas.openxmlformats.org/officeDocument/2006/relationships/hyperlink" Target="https://adm.gov86.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nvest.gov86.org/" TargetMode="External"/><Relationship Id="rId4" Type="http://schemas.openxmlformats.org/officeDocument/2006/relationships/webSettings" Target="webSettings.xml"/><Relationship Id="rId9" Type="http://schemas.openxmlformats.org/officeDocument/2006/relationships/hyperlink" Target="http://adm.gov86.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1</Pages>
  <Words>1738</Words>
  <Characters>9912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Зиярова Наталья Александровна</dc:creator>
  <cp:lastModifiedBy>Екатерина Керимова</cp:lastModifiedBy>
  <cp:revision>24</cp:revision>
  <cp:lastPrinted>2021-09-01T12:00:00Z</cp:lastPrinted>
  <dcterms:created xsi:type="dcterms:W3CDTF">2021-09-01T11:54:00Z</dcterms:created>
  <dcterms:modified xsi:type="dcterms:W3CDTF">2022-05-05T05:17:00Z</dcterms:modified>
</cp:coreProperties>
</file>