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20"/>
        <w:jc w:val="center"/>
        <w:rPr>
          <w:rFonts w:ascii="Times New Roman" w:hAnsi="Times New Roman" w:cs="Times New Roman"/>
          <w:color w:val="920000"/>
          <w:sz w:val="32"/>
          <w:szCs w:val="32"/>
        </w:rPr>
      </w:pPr>
      <w:r>
        <w:drawing>
          <wp:anchor behindDoc="0" distT="0" distB="0" distL="114300" distR="114300" simplePos="0" locked="0" layoutInCell="0" allowOverlap="1" relativeHeight="2">
            <wp:simplePos x="0" y="0"/>
            <wp:positionH relativeFrom="column">
              <wp:posOffset>4533900</wp:posOffset>
            </wp:positionH>
            <wp:positionV relativeFrom="paragraph">
              <wp:posOffset>635</wp:posOffset>
            </wp:positionV>
            <wp:extent cx="2256790" cy="1047750"/>
            <wp:effectExtent l="0" t="0" r="0" b="0"/>
            <wp:wrapTight wrapText="bothSides">
              <wp:wrapPolygon edited="0">
                <wp:start x="-54" y="0"/>
                <wp:lineTo x="-54" y="21106"/>
                <wp:lineTo x="21326" y="21106"/>
                <wp:lineTo x="21326" y="0"/>
                <wp:lineTo x="-54" y="0"/>
              </wp:wrapPolygon>
            </wp:wrapTight>
            <wp:docPr id="1" name="Рисунок 2" descr="ÐÐ°ÑÑÐ¸Ð½ÐºÐ¸ Ð¿Ð¾ Ð·Ð°Ð¿ÑÐ¾ÑÑ Ð»Ð¾Ð³Ð¾ÑÐ¸Ð¿ Ð±Ð¸Ð·Ð½ÐµÑ Ð¾ÐºÐ½Ð° Ð¼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ÐÐ°ÑÑÐ¸Ð½ÐºÐ¸ Ð¿Ð¾ Ð·Ð°Ð¿ÑÐ¾ÑÑ Ð»Ð¾Ð³Ð¾ÑÐ¸Ð¿ Ð±Ð¸Ð·Ð½ÐµÑ Ð¾ÐºÐ½Ð° Ð¼ÑÑ"/>
                    <pic:cNvPicPr>
                      <a:picLocks noChangeAspect="1" noChangeArrowheads="1"/>
                    </pic:cNvPicPr>
                  </pic:nvPicPr>
                  <pic:blipFill>
                    <a:blip r:embed="rId2"/>
                    <a:stretch>
                      <a:fillRect/>
                    </a:stretch>
                  </pic:blipFill>
                  <pic:spPr bwMode="auto">
                    <a:xfrm>
                      <a:off x="0" y="0"/>
                      <a:ext cx="2256790" cy="1047750"/>
                    </a:xfrm>
                    <a:prstGeom prst="rect">
                      <a:avLst/>
                    </a:prstGeom>
                  </pic:spPr>
                </pic:pic>
              </a:graphicData>
            </a:graphic>
          </wp:anchor>
        </w:drawing>
      </w:r>
      <w:r>
        <w:rPr>
          <w:rFonts w:cs="Times New Roman" w:ascii="Times New Roman" w:hAnsi="Times New Roman"/>
          <w:color w:val="920000"/>
          <w:sz w:val="32"/>
          <w:szCs w:val="32"/>
        </w:rPr>
        <w:t xml:space="preserve">Перечень услуг, предоставляемых субъектам малого и среднего предпринимательства </w:t>
      </w:r>
    </w:p>
    <w:p>
      <w:pPr>
        <w:pStyle w:val="Normal"/>
        <w:spacing w:lineRule="auto" w:line="240" w:before="0" w:after="120"/>
        <w:jc w:val="center"/>
        <w:rPr>
          <w:rFonts w:ascii="Times New Roman" w:hAnsi="Times New Roman" w:cs="Times New Roman"/>
          <w:color w:val="920000"/>
          <w:sz w:val="32"/>
          <w:szCs w:val="32"/>
        </w:rPr>
      </w:pPr>
      <w:r>
        <w:rPr>
          <w:rFonts w:cs="Times New Roman" w:ascii="Times New Roman" w:hAnsi="Times New Roman"/>
          <w:color w:val="920000"/>
          <w:sz w:val="32"/>
          <w:szCs w:val="32"/>
        </w:rPr>
        <w:t>в «окне для бизнеса»</w:t>
      </w:r>
    </w:p>
    <w:p>
      <w:pPr>
        <w:pStyle w:val="Normal"/>
        <w:spacing w:lineRule="auto" w:line="240" w:before="0" w:after="120"/>
        <w:jc w:val="center"/>
        <w:rPr>
          <w:rFonts w:ascii="Times New Roman" w:hAnsi="Times New Roman" w:cs="Times New Roman"/>
          <w:color w:val="C00000"/>
          <w:sz w:val="32"/>
          <w:szCs w:val="32"/>
        </w:rPr>
      </w:pPr>
      <w:r>
        <w:rPr>
          <w:rFonts w:cs="Times New Roman" w:ascii="Times New Roman" w:hAnsi="Times New Roman"/>
          <w:color w:val="920000"/>
          <w:sz w:val="32"/>
          <w:szCs w:val="32"/>
        </w:rPr>
        <w:t>АУ ХМАО-Югры «МФЦ в городе Пыть-Яха»</w:t>
      </w:r>
    </w:p>
    <w:p>
      <w:pPr>
        <w:pStyle w:val="Normal"/>
        <w:spacing w:lineRule="auto" w:line="240" w:before="0" w:after="120"/>
        <w:jc w:val="center"/>
        <w:rPr>
          <w:rFonts w:ascii="Times New Roman" w:hAnsi="Times New Roman" w:cs="Times New Roman"/>
          <w:sz w:val="32"/>
          <w:szCs w:val="32"/>
        </w:rPr>
      </w:pPr>
      <w:r>
        <w:rPr>
          <w:rFonts w:cs="Times New Roman" w:ascii="Times New Roman" w:hAnsi="Times New Roman"/>
          <w:sz w:val="32"/>
          <w:szCs w:val="32"/>
        </w:rPr>
      </w:r>
    </w:p>
    <w:tbl>
      <w:tblPr>
        <w:tblStyle w:val="a3"/>
        <w:tblW w:w="1062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24"/>
        <w:gridCol w:w="797"/>
        <w:gridCol w:w="6706"/>
      </w:tblGrid>
      <w:tr>
        <w:trPr/>
        <w:tc>
          <w:tcPr>
            <w:tcW w:w="3124"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Наименование органа власти (органа местного самоуправления)</w:t>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п/п</w:t>
            </w:r>
          </w:p>
        </w:tc>
        <w:tc>
          <w:tcPr>
            <w:tcW w:w="6706" w:type="dxa"/>
            <w:tcBorders/>
          </w:tcPr>
          <w:p>
            <w:pPr>
              <w:pStyle w:val="Normal"/>
              <w:widowControl/>
              <w:spacing w:lineRule="auto" w:line="240" w:before="12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Наименование услуги</w:t>
            </w:r>
          </w:p>
        </w:tc>
      </w:tr>
      <w:tr>
        <w:trPr/>
        <w:tc>
          <w:tcPr>
            <w:tcW w:w="3124" w:type="dxa"/>
            <w:vMerge w:val="restart"/>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color w:val="920000"/>
                <w:kern w:val="0"/>
                <w:sz w:val="24"/>
                <w:szCs w:val="24"/>
                <w:lang w:val="ru-RU" w:eastAsia="en-US" w:bidi="ar-SA"/>
              </w:rPr>
              <w:t>Администрация города Пыть-Яха</w:t>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Выдача разрешений на установку и эксплуатацию рекламных конструкций.</w:t>
            </w:r>
          </w:p>
        </w:tc>
      </w:tr>
      <w:tr>
        <w:trPr>
          <w:trHeight w:val="390"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Прием заявлений и выдача документов о согласовании переустройства и (или) перепланировки жилого помещения. </w:t>
            </w:r>
          </w:p>
        </w:tc>
      </w:tr>
      <w:tr>
        <w:trPr>
          <w:trHeight w:val="435"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tc>
      </w:tr>
      <w:tr>
        <w:trPr>
          <w:trHeight w:val="411"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Выдача градостроительного плана земельного участка. </w:t>
            </w:r>
          </w:p>
        </w:tc>
      </w:tr>
      <w:tr>
        <w:trPr>
          <w:trHeight w:val="510"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Присвоение объекту адресации адреса, аннулирование его адреса. </w:t>
            </w:r>
          </w:p>
        </w:tc>
      </w:tr>
      <w:tr>
        <w:trPr>
          <w:trHeight w:val="270"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r>
      <w:tr>
        <w:trPr>
          <w:trHeight w:val="570"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разрешения на условно разрешенный вид использования земельного участка или объекта капитального строительства</w:t>
            </w:r>
          </w:p>
        </w:tc>
      </w:tr>
      <w:tr>
        <w:trPr>
          <w:trHeight w:val="255"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trPr>
          <w:trHeight w:val="570"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r>
      <w:tr>
        <w:trPr>
          <w:trHeight w:val="1015"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tc>
      </w:tr>
      <w:tr>
        <w:trPr>
          <w:trHeight w:val="690"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Оказание финансовой поддержки субъектам малого и среднего предпринимательства</w:t>
            </w:r>
          </w:p>
        </w:tc>
      </w:tr>
      <w:tr>
        <w:trPr>
          <w:trHeight w:val="739"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Утверждение схемы расположения земельного участка или земельных участков на кадастровом плане территории</w:t>
            </w:r>
          </w:p>
        </w:tc>
      </w:tr>
      <w:tr>
        <w:trPr>
          <w:trHeight w:val="300"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сведений из реестра муниципального имущества</w:t>
            </w:r>
          </w:p>
        </w:tc>
      </w:tr>
      <w:tr>
        <w:trPr>
          <w:trHeight w:val="999"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trPr>
          <w:trHeight w:val="298"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w:t>
            </w:r>
          </w:p>
        </w:tc>
        <w:tc>
          <w:tcPr>
            <w:tcW w:w="6706" w:type="dxa"/>
            <w:tcBorders/>
          </w:tcPr>
          <w:p>
            <w:pPr>
              <w:pStyle w:val="Normal"/>
              <w:widowControl/>
              <w:spacing w:lineRule="auto" w:line="240" w:before="120" w:after="120"/>
              <w:jc w:val="both"/>
              <w:rPr>
                <w:rFonts w:ascii="Times New Roman" w:hAnsi="Times New Roman" w:cs="Times New Roman"/>
                <w:kern w:val="2"/>
                <w:sz w:val="24"/>
                <w:szCs w:val="24"/>
              </w:rPr>
            </w:pPr>
            <w:r>
              <w:rPr>
                <w:rFonts w:eastAsia="Calibri" w:cs="Times New Roman" w:ascii="Times New Roman" w:hAnsi="Times New Roman"/>
                <w:kern w:val="2"/>
                <w:sz w:val="24"/>
                <w:szCs w:val="24"/>
                <w:lang w:val="ru-RU" w:eastAsia="en-US" w:bidi="ar-SA"/>
              </w:rPr>
              <w:t>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 город Пыть-Ях о местных налогах и сборах</w:t>
              <w:tab/>
              <w:tab/>
            </w:r>
          </w:p>
        </w:tc>
      </w:tr>
      <w:tr>
        <w:trPr>
          <w:trHeight w:val="525" w:hRule="atLeast"/>
        </w:trPr>
        <w:tc>
          <w:tcPr>
            <w:tcW w:w="3124" w:type="dxa"/>
            <w:vMerge w:val="restart"/>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color w:val="920000"/>
                <w:kern w:val="0"/>
                <w:sz w:val="24"/>
                <w:szCs w:val="24"/>
                <w:lang w:val="ru-RU" w:eastAsia="en-US" w:bidi="ar-SA"/>
              </w:rPr>
              <w:t>Акционерное общество "Федеральная корпорация по развитию малого и среднего предпринимательства"</w:t>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Услуга по подбору по заданным параметрам информации об имуществе, включенном в перечни государственного и муниципального имущества, предусмотренные частью 4 статьи 18 Федерального закона от 24 июля 2007 № 209-ФЗ «О развитии малого и среднего предпринимательства в Российской Федерации», и свободном от прав третьих лиц</w:t>
            </w:r>
          </w:p>
        </w:tc>
      </w:tr>
      <w:tr>
        <w:trPr>
          <w:trHeight w:val="600"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Услуга по предоставлению по заданным параметрам информации об организации участия субъектов малого и среднего предпринимательства в закупках товаров, работ, услуг, в том числе инновационной продукции, высокотехнологичной продукции, конкретных заказчиков, определенных Правительством Российской Федерации в соответствии с Федеральным законом от 18 июля 2011 г. № 223-ФЗ «О закупках товаров, работ, услуг отдельными видами юридических лиц»</w:t>
            </w:r>
          </w:p>
        </w:tc>
      </w:tr>
      <w:tr>
        <w:trPr>
          <w:trHeight w:val="450"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Услуга по предоставлению по заданным параметрам информации о формах и условиях финансовой поддержки субъектов малого и среднего предпринимательства</w:t>
            </w:r>
          </w:p>
        </w:tc>
      </w:tr>
      <w:tr>
        <w:trPr>
          <w:trHeight w:val="690"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Услуга по предоставлению по заданным параметрам информации об объемах и номенклатуре закупок конкретных и отдельных заказчиков, определенных в соответствии с Федеральным законом от 18 июля 2011 г. № 223-ФЗ "О закупках товаров, работ, услуг отдельными видами юридических лиц", у субъектов малого и среднего предпринимательства в текущем году</w:t>
            </w:r>
          </w:p>
        </w:tc>
      </w:tr>
      <w:tr>
        <w:trPr>
          <w:trHeight w:val="600"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Услуга по предоставлению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tc>
      </w:tr>
      <w:tr>
        <w:trPr>
          <w:trHeight w:val="445"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Услуга по регистрации на Портале Бизнес-навигатора МСП</w:t>
            </w:r>
          </w:p>
        </w:tc>
      </w:tr>
      <w:tr>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Услуга по информированию о тренингах по программам обучения АО "Корпарации "МСП" и электронной записи на участие в таких тренингах</w:t>
            </w:r>
          </w:p>
        </w:tc>
      </w:tr>
      <w:tr>
        <w:trPr>
          <w:trHeight w:val="630" w:hRule="atLeast"/>
        </w:trPr>
        <w:tc>
          <w:tcPr>
            <w:tcW w:w="3124" w:type="dxa"/>
            <w:vMerge w:val="continue"/>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Комплексная услуга по предоставлению информации о формах и условиях поддержки сельскохозяйственной кооперации</w:t>
            </w:r>
          </w:p>
        </w:tc>
      </w:tr>
      <w:tr>
        <w:trPr/>
        <w:tc>
          <w:tcPr>
            <w:tcW w:w="3124" w:type="dxa"/>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4"/>
                <w:szCs w:val="24"/>
                <w:lang w:val="ru-RU" w:eastAsia="en-US" w:bidi="ar-SA"/>
              </w:rPr>
              <w:t>Фонд «Югорская региональная микрокредитная компания»</w:t>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tcPr>
          <w:p>
            <w:pPr>
              <w:pStyle w:val="Normal"/>
              <w:widowControl/>
              <w:spacing w:lineRule="auto" w:line="240" w:before="120" w:after="12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Консультация по финансовой поддержке, предоставляемой Фондом «Югорская региональная микрокредитная компания» субъектам малого и среднего предпринимательства</w:t>
            </w:r>
          </w:p>
        </w:tc>
      </w:tr>
      <w:tr>
        <w:trPr/>
        <w:tc>
          <w:tcPr>
            <w:tcW w:w="3124" w:type="dxa"/>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4"/>
                <w:szCs w:val="24"/>
                <w:lang w:val="ru-RU" w:eastAsia="en-US" w:bidi="ar-SA"/>
              </w:rPr>
              <w:t>Уполномоченный по защите прав предпринимателей в ХМАО-Югре</w:t>
              <w:tab/>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tcPr>
          <w:p>
            <w:pPr>
              <w:pStyle w:val="Normal"/>
              <w:widowControl/>
              <w:spacing w:lineRule="auto" w:line="240" w:before="120" w:after="12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Организация взаимодействия в целях защиты прав, свобод и законных интересов субъектов предпринимательской деятельности на территории Ханты-Мансийского автономного округа - Югры</w:t>
            </w:r>
          </w:p>
        </w:tc>
      </w:tr>
      <w:tr>
        <w:trPr/>
        <w:tc>
          <w:tcPr>
            <w:tcW w:w="3124" w:type="dxa"/>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4"/>
                <w:szCs w:val="24"/>
                <w:lang w:val="ru-RU" w:eastAsia="en-US" w:bidi="ar-SA"/>
              </w:rPr>
              <w:t>Фонд "Центр координации поддержки экспортно-ориентированных субъектов малого и среднего предпринимательства Югры"</w:t>
            </w:r>
          </w:p>
        </w:tc>
        <w:tc>
          <w:tcPr>
            <w:tcW w:w="797"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tcPr>
          <w:p>
            <w:pPr>
              <w:pStyle w:val="Normal"/>
              <w:widowControl/>
              <w:spacing w:lineRule="auto" w:line="240" w:before="120" w:after="12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Консультация по поддержкам, предоставляемым Фондом "Центр координации поддержки экспортно-ориентированных субъектов малого и среднего предпринимательства Югры" субъектам малого и среднего предпринимательства</w:t>
            </w:r>
          </w:p>
        </w:tc>
      </w:tr>
      <w:tr>
        <w:trPr/>
        <w:tc>
          <w:tcPr>
            <w:tcW w:w="3124" w:type="dxa"/>
            <w:vMerge w:val="restart"/>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4"/>
                <w:szCs w:val="24"/>
                <w:lang w:val="ru-RU" w:eastAsia="en-US" w:bidi="ar-SA"/>
              </w:rPr>
              <w:t>Департамент экономического развития Ханты-Мансийского автономного округа - Югры</w:t>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Лицензирование розничной продажи алкогольной продукции на территории Ханты-Мансийского автономного округа - Югры</w:t>
            </w:r>
          </w:p>
        </w:tc>
      </w:tr>
      <w:tr>
        <w:trPr>
          <w:trHeight w:val="555"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Лицензирование заготовки, хранения, переработки и реализации лома черных металлов, цветных металлов на территории Ханты-Мансийского автономного округа - Югры</w:t>
            </w:r>
          </w:p>
        </w:tc>
      </w:tr>
      <w:tr>
        <w:trPr>
          <w:trHeight w:val="870"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информации о видах поддержки субъектов малого и среднего предпринимательства Ханты-Мансийского автономного округа - Югры</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Включение (изменение (исключение)) сведений в торговый реестр Ханты-Мансийского автономного округа - Югры, предоставление информации из торгового реестра Ханты-Мансийского автономного округа - Югры</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Признание субъекта малого и среднего предпринимательства Ханты-Мансийского автономного округа - Югры социальным предприятием</w:t>
            </w:r>
          </w:p>
        </w:tc>
      </w:tr>
      <w:tr>
        <w:trPr/>
        <w:tc>
          <w:tcPr>
            <w:tcW w:w="3124" w:type="dxa"/>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4"/>
                <w:szCs w:val="24"/>
                <w:lang w:val="ru-RU" w:eastAsia="en-US" w:bidi="ar-SA"/>
              </w:rPr>
              <w:t>Служба государственного надзора за техническим состоянием самоходных машин и других видов техники ХМАО - Югры</w:t>
              <w:tab/>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tcPr>
          <w:p>
            <w:pPr>
              <w:pStyle w:val="Normal"/>
              <w:widowControl/>
              <w:spacing w:lineRule="auto" w:line="240" w:before="120" w:after="12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Выдача разрешения на осуществление деятельности по перевозке пассажиров и багажа легковым такси на территории Ханты-Мансийского автономного округа – Югры</w:t>
            </w:r>
          </w:p>
        </w:tc>
      </w:tr>
      <w:tr>
        <w:trPr/>
        <w:tc>
          <w:tcPr>
            <w:tcW w:w="3124" w:type="dxa"/>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4"/>
                <w:szCs w:val="24"/>
                <w:lang w:val="ru-RU" w:eastAsia="en-US" w:bidi="ar-SA"/>
              </w:rPr>
              <w:t>Служба по контролю и надзору в сфере здравоохранения Ханты-Мансийского автономного округа – Югры</w:t>
              <w:tab/>
              <w:tab/>
              <w:tab/>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vAlign w:val="center"/>
          </w:tcPr>
          <w:p>
            <w:pPr>
              <w:pStyle w:val="Normal"/>
              <w:widowControl/>
              <w:spacing w:lineRule="auto" w:line="240" w:before="120" w:after="12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tc>
      </w:tr>
      <w:tr>
        <w:trPr/>
        <w:tc>
          <w:tcPr>
            <w:tcW w:w="3124" w:type="dxa"/>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4"/>
                <w:szCs w:val="24"/>
                <w:lang w:val="ru-RU" w:eastAsia="en-US" w:bidi="ar-SA"/>
              </w:rPr>
              <w:t>Северо-Уральское Межрегиональное управление Госавтонадзора (Ространснадзор)</w:t>
              <w:tab/>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vAlign w:val="center"/>
          </w:tcPr>
          <w:p>
            <w:pPr>
              <w:pStyle w:val="Normal"/>
              <w:widowControl/>
              <w:spacing w:lineRule="auto" w:line="240" w:before="120" w:after="12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tc>
      </w:tr>
      <w:tr>
        <w:trPr>
          <w:trHeight w:val="735" w:hRule="atLeast"/>
        </w:trPr>
        <w:tc>
          <w:tcPr>
            <w:tcW w:w="3124" w:type="dxa"/>
            <w:vMerge w:val="restart"/>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4"/>
                <w:szCs w:val="24"/>
                <w:lang w:val="ru-RU" w:eastAsia="en-US" w:bidi="ar-SA"/>
              </w:rPr>
              <w:t>Департамент по управлению государственным имуществом ХМАО - Югры</w:t>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информации об объектах недвижимого имущества, находящихся в государственной собственности Ханты-Мансийского автономного округа - Югры и предназначенных для сдачи в аренду</w:t>
            </w:r>
          </w:p>
        </w:tc>
      </w:tr>
      <w:tr>
        <w:trPr>
          <w:trHeight w:val="705"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6706" w:type="dxa"/>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сведений, содержащихся в реестре государственного имущества Ханты-Мансийского автономного округа - Югры</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6706" w:type="dxa"/>
            <w:tcBorders>
              <w:top w:val="nil"/>
              <w:left w:val="nil"/>
              <w:bottom w:val="nil"/>
              <w:right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Передача в аренду, безвозмездное пользование имущества, находящегося в собственности Ханты-Мансийского автономного округа - Югры, за исключением земельных участков и жилых помещений</w:t>
            </w:r>
          </w:p>
        </w:tc>
      </w:tr>
      <w:tr>
        <w:trPr/>
        <w:tc>
          <w:tcPr>
            <w:tcW w:w="3124" w:type="dxa"/>
            <w:vMerge w:val="restart"/>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4"/>
                <w:szCs w:val="24"/>
                <w:lang w:val="ru-RU" w:eastAsia="en-US" w:bidi="ar-SA"/>
              </w:rPr>
              <w:t>Департамент недропользования и природных ресурсов ХМАО - Югры</w:t>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top w:val="single" w:sz="8" w:space="0" w:color="000000"/>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водных объектов или их частей, находящихся в федеральной собственности и расположенных на территории Ханты-Мансийского автономного округа - Югры, в пользование на основании решений о предоставлении водных объектов в пользование</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водных объектов или их частей, находящихся в федеральной собственности и расположенных на территории Ханты-Мансийского автономного округа - Югры, в пользование на основании договоров водопользования</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водных объектов или их частей, находящихся в собственности Ханты-Мансийского автономного округа - Югры, в пользование на основании договора водопользования</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водных объектов или их частей, находящихся в собственности Ханты-Мансийского автономного округа - Югры, в пользование на основании решений о предоставлении водных объектов в пользование</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Проведение государственной экспертизы проектов освоения лесов, расположенных на землях лесного фонда</w:t>
              <w:tab/>
              <w:tab/>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выписки из Реестра территорий традиционного природопользования коренных малочисленных народов Севера регионального значения в Ханты-Мансийском автономном округе - Югре</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выписки из Реестра организаций, осуществляющих традиционную хозяйственную деятельность коренных малочисленных народов Севера в Ханты-Мансийском автономном округе - Югре</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Прием лесных деклараций и отчетов об использовании лесов от граждан, юридических лиц, осуществляющих использование лесов</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в границах земель лесного фонда лесных участков в аренду (без проведения торгов)</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6706" w:type="dxa"/>
            <w:tcBorders>
              <w:top w:val="nil"/>
              <w:bottom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6706" w:type="dxa"/>
            <w:tcBorders>
              <w:top w:val="single" w:sz="8" w:space="0" w:color="000000"/>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Выдача разрешений на содержание и разведение объектов животного мира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Выдача юридическим лицам и индивидуальным предпринимателям бланков разрешений на добычу охотничьих ресурсов для последующей выдачи таких разрешений физическим лицам в случаях осуществления ими охоты в закрепленных охотничьих угодьях Ханты-Мансийского автономного округа - Югры</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субсидии на лимитируемую продукцию охоты</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субсидии на приобретение северных оленей</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субсидий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w:t>
            </w:r>
          </w:p>
        </w:tc>
      </w:tr>
      <w:tr>
        <w:trPr/>
        <w:tc>
          <w:tcPr>
            <w:tcW w:w="3124" w:type="dxa"/>
            <w:vMerge w:val="restart"/>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4"/>
                <w:szCs w:val="24"/>
                <w:lang w:val="ru-RU" w:eastAsia="en-US" w:bidi="ar-SA"/>
              </w:rPr>
              <w:t>Департамент промышленности ХМАО - Югры</w:t>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top w:val="single" w:sz="8" w:space="0" w:color="000000"/>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субсидии на развитие племенного животноводства, на развитие племенного мясного скотоводства, на приобретение оборудования, материалов, семени производителей для искусственного осеменения сельскохозяйственных животных</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субсидии на вовлечение в сельскохозяйственный оборот сельскохозяйственных угодий и лесных участков</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субсидии на приобретение племенного молодняка сельскохозяйственных животных, клеточных пушных зверей</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субсидии на развитие северного оленеводства</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субсидии на уплату процентов по кредитам (займам)</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субсидий на поддержку растениеводства, переработки и реализации продукции растениеводства, на поддержку животноводства, переработки и реализации продукции животноводства, на поддержку мясного скотоводства, переработки и реализации продукции мясного скотоводства</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субсидий на повышение эффективности использования и развитие ресурсного потенциала рыбохозяйственного комплекса</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субсидий на поддержку малых форм хозяйствования, на развитие материально-технической базы (за исключением личных подсобных хозяйств)</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субсидии на участие в выставках, ярмарках</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субсидий на развитие системы заготовки и переработки дикоросов</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субсидии на повышение продуктивности в молочном скотоводстве</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субсидии на возмещение части затрат сельскохозяйственных товаропроизводителей на уплату страховых премий по договорам сельскохозяйственного страхования</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гранта в форме субсидии на поддержку начинающих фермеров*</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гранта в форме субсидии на развитие семейных ферм*</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гранта в форме субсидии на реализацию проектов по заготовке и переработке дикоросов</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субсидий на реализацию инвестиционных проектов (строительство тепличных комплексов)</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субсидий на создание и модернизацию объектов агропромышленного комплекса и объектов рыбоводной инфраструктуры</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грантов в форме субсидии на поддержку сельскохозяйственных потребительских кооперативов для развития материально-технической базы</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19</w:t>
            </w:r>
          </w:p>
        </w:tc>
        <w:tc>
          <w:tcPr>
            <w:tcW w:w="6706" w:type="dxa"/>
            <w:tcBorders>
              <w:top w:val="nil"/>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грантов в форме субсидии на создание высокотехнологических (роботизированных) животноводческих комплексов</w:t>
            </w:r>
          </w:p>
        </w:tc>
      </w:tr>
      <w:tr>
        <w:trPr>
          <w:trHeight w:val="225" w:hRule="atLeast"/>
        </w:trPr>
        <w:tc>
          <w:tcPr>
            <w:tcW w:w="3124" w:type="dxa"/>
            <w:vMerge w:val="restart"/>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4"/>
                <w:szCs w:val="24"/>
                <w:lang w:val="ru-RU" w:eastAsia="en-US" w:bidi="ar-SA"/>
              </w:rPr>
              <w:t>УФНС России по ХМАО-Югре</w:t>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Государственная регистрация юридических лиц, физических лиц в качестве индивидуальных предпринимателей и крестьянских (фермерских) хозяйств (Услуга включена в перечень в соответствии с постановлением № 797)</w:t>
            </w:r>
          </w:p>
        </w:tc>
      </w:tr>
      <w:tr>
        <w:trPr>
          <w:trHeight w:val="165"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заинтересованным лицам сведений, содержащихся в реестре дисквалифицированных лиц (Услуга включена в перечень в соответствии с постановлением № 797)</w:t>
            </w:r>
          </w:p>
        </w:tc>
      </w:tr>
      <w:tr>
        <w:trPr>
          <w:trHeight w:val="149"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 (Услуга включена в перечень в соответствии с постановлением № 797)</w:t>
            </w:r>
          </w:p>
        </w:tc>
      </w:tr>
      <w:tr>
        <w:trPr>
          <w:trHeight w:val="180"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 (Услуга включена в перечень в соответствии с постановлением № 797)</w:t>
            </w:r>
          </w:p>
        </w:tc>
      </w:tr>
      <w:tr>
        <w:trPr>
          <w:trHeight w:val="285"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(Услуга включена в перечень в соответствии с постановлением № 797)</w:t>
            </w:r>
          </w:p>
        </w:tc>
      </w:tr>
      <w:tr>
        <w:trPr>
          <w:trHeight w:val="195"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 (Услуга предоставляется не ранее 1 апреля 2020 г. (начиная с информации за отчетный период 2019 года), после вступления в силу Административного регламента Федеральной налоговой службы предоставления государственной услуги по предоставлению информации, содержащейся в государственном информационном ресурсе бухгалтерской (финансовой) отчетности, утвержденного приказом ФНС России от 25.11.2019 № ММВ-7-1/586@)</w:t>
            </w:r>
          </w:p>
        </w:tc>
      </w:tr>
      <w:tr>
        <w:trPr>
          <w:trHeight w:val="270"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Предоставление сведений, содержащихся в государственном адресном реестре</w:t>
            </w:r>
          </w:p>
        </w:tc>
      </w:tr>
      <w:tr>
        <w:trPr>
          <w:trHeight w:val="225"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Прием запроса о предоставлении акта совместной сверки расчетов по налогам, сборам, страховым взносам, пеням, штрафам, процентам</w:t>
            </w:r>
          </w:p>
        </w:tc>
      </w:tr>
      <w:tr>
        <w:trPr>
          <w:trHeight w:val="285"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Прием заявления к налоговому уведомлению об уточнении сведений об объектах, указанных в налоговом уведомлении</w:t>
            </w:r>
          </w:p>
        </w:tc>
      </w:tr>
      <w:tr>
        <w:trPr>
          <w:trHeight w:val="224"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Прием запроса о предоставлении справки о состоянии расчетов по налогам, сборам, страховым  взносам,  пеням,  штрафам,  процентам  организаций  и индивидуальных предпринимателей</w:t>
            </w:r>
          </w:p>
        </w:tc>
      </w:tr>
      <w:tr>
        <w:trPr>
          <w:trHeight w:val="300"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Прием заявления о выборе системы налогообложения при принятии документов на государственную регистрацию</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Прием заявления на получение патента</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Прием уведомления о переходе на упрощенную систему налогообложения</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Прием уведомления о переходе на систему налогообложения для сельскохозяйственных товаропроизводителей</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Прием заявления в Единый регистрационный центр о  внесении  ограничений на использование персональных данных физических лиц в целях предотвращения возможности неправомерной государственной регистрации юридических лиц и внесения недостоверных сведений в Единый государственный реестр юридических лиц</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w:t>
            </w:r>
          </w:p>
        </w:tc>
        <w:tc>
          <w:tcPr>
            <w:tcW w:w="6706" w:type="dxa"/>
            <w:tcBorders/>
          </w:tcPr>
          <w:p>
            <w:pPr>
              <w:pStyle w:val="Normal"/>
              <w:widowControl/>
              <w:spacing w:lineRule="auto" w:line="240" w:before="120" w:after="120"/>
              <w:jc w:val="both"/>
              <w:rPr>
                <w:rFonts w:ascii="Times New Roman" w:hAnsi="Times New Roman" w:cs="Times New Roman"/>
                <w:color w:val="000000"/>
                <w:sz w:val="24"/>
                <w:szCs w:val="24"/>
              </w:rPr>
            </w:pPr>
            <w:r>
              <w:rPr>
                <w:rFonts w:eastAsia="Calibri" w:cs="Times New Roman" w:ascii="Times New Roman" w:hAnsi="Times New Roman"/>
                <w:kern w:val="0"/>
                <w:sz w:val="24"/>
                <w:szCs w:val="24"/>
                <w:lang w:val="ru-RU" w:eastAsia="en-US" w:bidi="ar-SA"/>
              </w:rPr>
              <w:t>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 (Услуга предоставляется не ранее 1 апреля 2020 г. (начиная с информации за отчетный период 2019 года), после вступления в силу Административного регламента Федеральной налоговой службы предоставления государственной услуги по предоставлению информации, содержащейся в государственном информационном ресурсе бухгалтерской (финансовой) отчетности, утвержденного приказом ФНС России от 25.11.2019 № ММВ-7-1/586@)</w:t>
            </w:r>
          </w:p>
        </w:tc>
      </w:tr>
      <w:tr>
        <w:trPr>
          <w:trHeight w:val="339" w:hRule="atLeast"/>
        </w:trPr>
        <w:tc>
          <w:tcPr>
            <w:tcW w:w="3124" w:type="dxa"/>
            <w:vMerge w:val="restart"/>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4"/>
                <w:szCs w:val="24"/>
                <w:lang w:val="ru-RU" w:eastAsia="en-US" w:bidi="ar-SA"/>
              </w:rPr>
              <w:t>Государственное учреждение – региональное отделение Фонда социального страхования Российской Федерации по Ханты-Мансийскому автономному округу – Югре</w:t>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Приём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w:t>
            </w:r>
          </w:p>
        </w:tc>
      </w:tr>
      <w:tr>
        <w:trPr>
          <w:trHeight w:val="195"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tc>
      </w:tr>
      <w:tr>
        <w:trPr>
          <w:trHeight w:val="330"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Регистрация и снятие с регистрационного учета страхователей - физических лиц, заключивших трудовой договор с работником</w:t>
            </w:r>
          </w:p>
        </w:tc>
      </w:tr>
      <w:tr>
        <w:trPr>
          <w:trHeight w:val="285"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Регистрация и снятие с учета страхователей - физических лиц, обязанных уплачивать страховые взносы в связи с заключением гражданско-правового договора</w:t>
            </w:r>
          </w:p>
        </w:tc>
      </w:tr>
      <w:tr>
        <w:trPr>
          <w:trHeight w:val="360"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Регистрация и снятие с регистрационного учета страхователей - юридических лиц по месту нахождения обособленных подразделений</w:t>
            </w:r>
          </w:p>
        </w:tc>
      </w:tr>
      <w:tr>
        <w:trPr>
          <w:trHeight w:val="285"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Прием документов, служащих основанием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r>
      <w:tr>
        <w:trPr>
          <w:trHeight w:val="270"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w:t>
            </w:r>
          </w:p>
        </w:tc>
      </w:tr>
      <w:tr>
        <w:trPr>
          <w:trHeight w:val="180"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Назначение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заявителей при наличии прямых последствий страхового случая</w:t>
            </w:r>
          </w:p>
        </w:tc>
      </w:tr>
      <w:tr>
        <w:trPr>
          <w:trHeight w:val="345"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Назначение обеспечения по обязательному социальному страхованию от несчастных случаев на производстве и профессиональных заболеваний в виде единовременной и (или) ежемесячной страховой выплаты застрахованному либо лицам, имеющим право на получение страховых выплат в случае его смерти</w:t>
            </w:r>
          </w:p>
        </w:tc>
      </w:tr>
      <w:tr>
        <w:trPr>
          <w:trHeight w:val="195"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r>
      <w:tr>
        <w:trPr>
          <w:trHeight w:val="300" w:hRule="atLeast"/>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6706"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Установление страхователям скидки к страховому тарифу на обязательное социальное страхование от несчастных случаев на производстве и профессиональных заболеваний</w:t>
            </w:r>
          </w:p>
        </w:tc>
      </w:tr>
      <w:tr>
        <w:trPr/>
        <w:tc>
          <w:tcPr>
            <w:tcW w:w="3124" w:type="dxa"/>
            <w:vMerge w:val="restart"/>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4"/>
                <w:szCs w:val="24"/>
                <w:lang w:val="ru-RU" w:eastAsia="en-US" w:bidi="ar-SA"/>
              </w:rPr>
              <w:t>ФГБУ «Федеральная кадастровая палата Федеральной службы государственной регистрации, кадастра и картографии по ХМАО-Югре»</w:t>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tcPr>
          <w:p>
            <w:pPr>
              <w:pStyle w:val="Normal"/>
              <w:widowControl/>
              <w:spacing w:lineRule="auto" w:line="240" w:before="120" w:after="12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Государственная услуга по предоставлению сведений, содержащихся в Едином государственном реестре недвижимости</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6706" w:type="dxa"/>
            <w:tcBorders/>
          </w:tcPr>
          <w:p>
            <w:pPr>
              <w:pStyle w:val="Normal"/>
              <w:widowControl/>
              <w:spacing w:lineRule="auto" w:line="240" w:before="120" w:after="12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Государственная услуга по государственному кадастровому учету недвижимого имущества и (или) государственной регистрации прав на недвижимое имущество и сделок с ним</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6706" w:type="dxa"/>
            <w:tcBorders/>
          </w:tcPr>
          <w:p>
            <w:pPr>
              <w:pStyle w:val="Normal"/>
              <w:widowControl/>
              <w:spacing w:lineRule="auto" w:line="240" w:before="120" w:after="12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Прием заявлений о предоставлении земельных участков на Дальнем Востоке Российской Федерации в соответствии с Законом № 119-ФЗ</w:t>
            </w:r>
          </w:p>
        </w:tc>
      </w:tr>
      <w:tr>
        <w:trPr/>
        <w:tc>
          <w:tcPr>
            <w:tcW w:w="3124" w:type="dxa"/>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4"/>
                <w:szCs w:val="24"/>
                <w:lang w:val="ru-RU" w:eastAsia="en-US" w:bidi="ar-SA"/>
              </w:rPr>
              <w:t>Управление Федеральной службы судебных приставов по ХМАО - Югре</w:t>
              <w:tab/>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tcPr>
          <w:p>
            <w:pPr>
              <w:pStyle w:val="Normal"/>
              <w:widowControl/>
              <w:spacing w:lineRule="auto" w:line="240" w:before="120" w:after="12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Предоставление информации по находящимся на исполнении исполнительным производствам в отношении физического и юридического лица</w:t>
            </w:r>
          </w:p>
        </w:tc>
      </w:tr>
      <w:tr>
        <w:trPr/>
        <w:tc>
          <w:tcPr>
            <w:tcW w:w="3124" w:type="dxa"/>
            <w:vMerge w:val="restart"/>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4"/>
                <w:szCs w:val="24"/>
                <w:lang w:val="ru-RU" w:eastAsia="en-US" w:bidi="ar-SA"/>
              </w:rPr>
              <w:t>Межрегиональное территориальное управление Росимущества в Тюменской области, Ханты-Мансийском автономном округе – Югре, Ямало-Ненецком автономном округе</w:t>
              <w:tab/>
              <w:tab/>
              <w:tab/>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shd w:color="auto" w:fill="auto" w:val="clear"/>
          </w:tcPr>
          <w:p>
            <w:pPr>
              <w:pStyle w:val="Normal"/>
              <w:widowControl/>
              <w:spacing w:lineRule="auto" w:line="240" w:before="120" w:after="12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tc>
      </w:tr>
      <w:tr>
        <w:trPr/>
        <w:tc>
          <w:tcPr>
            <w:tcW w:w="3124" w:type="dxa"/>
            <w:vMerge w:val="continue"/>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2"/>
                <w:szCs w:val="22"/>
                <w:lang w:val="ru-RU" w:eastAsia="en-US" w:bidi="ar-SA"/>
              </w:rPr>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6706" w:type="dxa"/>
            <w:tcBorders>
              <w:top w:val="nil"/>
            </w:tcBorders>
            <w:shd w:color="auto" w:fill="auto" w:val="clear"/>
          </w:tcPr>
          <w:p>
            <w:pPr>
              <w:pStyle w:val="Normal"/>
              <w:widowControl/>
              <w:spacing w:lineRule="auto" w:line="240" w:before="120" w:after="12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Осуществление в установленном порядке выдачи выписок из реестра федерального имущества</w:t>
            </w:r>
          </w:p>
        </w:tc>
      </w:tr>
      <w:tr>
        <w:trPr/>
        <w:tc>
          <w:tcPr>
            <w:tcW w:w="3124" w:type="dxa"/>
            <w:tcBorders/>
          </w:tcPr>
          <w:p>
            <w:pPr>
              <w:pStyle w:val="Normal"/>
              <w:widowControl/>
              <w:spacing w:lineRule="auto" w:line="240" w:before="0" w:after="120"/>
              <w:jc w:val="center"/>
              <w:rPr>
                <w:rFonts w:ascii="Times New Roman" w:hAnsi="Times New Roman" w:cs="Times New Roman"/>
                <w:color w:val="920000"/>
                <w:sz w:val="24"/>
                <w:szCs w:val="24"/>
              </w:rPr>
            </w:pPr>
            <w:r>
              <w:rPr>
                <w:rFonts w:eastAsia="Calibri" w:cs="Times New Roman" w:ascii="Times New Roman" w:hAnsi="Times New Roman"/>
                <w:color w:val="920000"/>
                <w:kern w:val="0"/>
                <w:sz w:val="24"/>
                <w:szCs w:val="24"/>
                <w:lang w:val="ru-RU" w:eastAsia="en-US" w:bidi="ar-SA"/>
              </w:rPr>
              <w:t>Управление Министерства Внутренних Дел РФ по ХМАО - Югре</w:t>
            </w:r>
          </w:p>
        </w:tc>
        <w:tc>
          <w:tcPr>
            <w:tcW w:w="797" w:type="dxa"/>
            <w:tcBorders/>
          </w:tcPr>
          <w:p>
            <w:pPr>
              <w:pStyle w:val="Normal"/>
              <w:widowControl/>
              <w:spacing w:lineRule="auto" w:line="240" w:before="0" w:after="12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6706" w:type="dxa"/>
            <w:tcBorders/>
          </w:tcPr>
          <w:p>
            <w:pPr>
              <w:pStyle w:val="Normal"/>
              <w:widowControl/>
              <w:spacing w:lineRule="auto" w:line="240" w:before="120" w:after="12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t xml:space="preserve">Осуществление миграционного учета иностранных граждан и лиц без гражданства в Российской Федерации </w:t>
            </w:r>
          </w:p>
        </w:tc>
      </w:tr>
    </w:tbl>
    <w:p>
      <w:pPr>
        <w:pStyle w:val="Normal"/>
        <w:spacing w:lineRule="auto" w:line="240" w:before="0" w:after="120"/>
        <w:jc w:val="center"/>
        <w:rPr>
          <w:rFonts w:ascii="Times New Roman" w:hAnsi="Times New Roman" w:cs="Times New Roman"/>
          <w:sz w:val="28"/>
          <w:szCs w:val="28"/>
        </w:rPr>
      </w:pPr>
      <w:r>
        <w:rPr>
          <w:rFonts w:cs="Times New Roman" w:ascii="Times New Roman" w:hAnsi="Times New Roman"/>
          <w:sz w:val="28"/>
          <w:szCs w:val="28"/>
        </w:rPr>
      </w:r>
      <w:bookmarkStart w:id="0" w:name="_GoBack"/>
      <w:bookmarkStart w:id="1" w:name="_GoBack"/>
      <w:bookmarkEnd w:id="1"/>
    </w:p>
    <w:p>
      <w:pPr>
        <w:pStyle w:val="Normal"/>
        <w:spacing w:before="0" w:after="160"/>
        <w:jc w:val="center"/>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6faa"/>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4c05f0"/>
    <w:rPr/>
  </w:style>
  <w:style w:type="character" w:styleId="Style15" w:customStyle="1">
    <w:name w:val="Нижний колонтитул Знак"/>
    <w:basedOn w:val="DefaultParagraphFont"/>
    <w:link w:val="a6"/>
    <w:uiPriority w:val="99"/>
    <w:qFormat/>
    <w:rsid w:val="004c05f0"/>
    <w:rPr/>
  </w:style>
  <w:style w:type="character" w:styleId="Style16" w:customStyle="1">
    <w:name w:val="Текст выноски Знак"/>
    <w:basedOn w:val="DefaultParagraphFont"/>
    <w:link w:val="a8"/>
    <w:uiPriority w:val="99"/>
    <w:semiHidden/>
    <w:qFormat/>
    <w:rsid w:val="001030aa"/>
    <w:rPr>
      <w:rFonts w:ascii="Segoe UI" w:hAnsi="Segoe UI" w:cs="Segoe UI"/>
      <w:sz w:val="18"/>
      <w:szCs w:val="18"/>
    </w:rPr>
  </w:style>
  <w:style w:type="paragraph" w:styleId="Style17">
    <w:name w:val="Заголовок"/>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Style22">
    <w:name w:val="Верхний и нижний колонтитулы"/>
    <w:basedOn w:val="Normal"/>
    <w:qFormat/>
    <w:pPr/>
    <w:rPr/>
  </w:style>
  <w:style w:type="paragraph" w:styleId="Style23">
    <w:name w:val="Header"/>
    <w:basedOn w:val="Normal"/>
    <w:link w:val="a5"/>
    <w:uiPriority w:val="99"/>
    <w:unhideWhenUsed/>
    <w:rsid w:val="004c05f0"/>
    <w:pPr>
      <w:tabs>
        <w:tab w:val="clear" w:pos="708"/>
        <w:tab w:val="center" w:pos="4677" w:leader="none"/>
        <w:tab w:val="right" w:pos="9355" w:leader="none"/>
      </w:tabs>
      <w:spacing w:lineRule="auto" w:line="240" w:before="0" w:after="0"/>
    </w:pPr>
    <w:rPr/>
  </w:style>
  <w:style w:type="paragraph" w:styleId="Style24">
    <w:name w:val="Footer"/>
    <w:basedOn w:val="Normal"/>
    <w:link w:val="a7"/>
    <w:uiPriority w:val="99"/>
    <w:unhideWhenUsed/>
    <w:rsid w:val="004c05f0"/>
    <w:pPr>
      <w:tabs>
        <w:tab w:val="clear" w:pos="708"/>
        <w:tab w:val="center" w:pos="4677" w:leader="none"/>
        <w:tab w:val="right" w:pos="9355" w:leader="none"/>
      </w:tabs>
      <w:spacing w:lineRule="auto" w:line="240" w:before="0" w:after="0"/>
    </w:pPr>
    <w:rPr/>
  </w:style>
  <w:style w:type="paragraph" w:styleId="BalloonText">
    <w:name w:val="Balloon Text"/>
    <w:basedOn w:val="Normal"/>
    <w:link w:val="a9"/>
    <w:uiPriority w:val="99"/>
    <w:semiHidden/>
    <w:unhideWhenUsed/>
    <w:qFormat/>
    <w:rsid w:val="001030a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656f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LibreOffice/7.1.5.2$Windows_X86_64 LibreOffice_project/85f04e9f809797b8199d13c421bd8a2b025d52b5</Application>
  <AppVersion>15.0000</AppVersion>
  <Pages>9</Pages>
  <Words>2467</Words>
  <Characters>18605</Characters>
  <CharactersWithSpaces>20867</CharactersWithSpaces>
  <Paragraphs>238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2021-09-08T12:48:00Z</dcterms:created>
  <dc:creator>Лещенко Лилия Евгеньевна</dc:creator>
  <dc:description/>
  <dc:language>ru-RU</dc:language>
  <cp:lastModifiedBy/>
  <cp:lastPrinted>2021-09-10T18:05:59Z</cp:lastPrinted>
  <dcterms:modified xsi:type="dcterms:W3CDTF">2021-09-10T18:23:29Z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